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2.xml" ContentType="application/vnd.openxmlformats-officedocument.wordprocessingml.header+xml"/>
  <Override PartName="/word/media/image1.png" ContentType="image/png"/>
  <Override PartName="/word/theme/theme1.xml" ContentType="application/vnd.openxmlformats-officedocument.theme+xml"/>
  <Override PartName="/word/header1.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ind w:right="946" w:hanging="0"/>
        <w:rPr>
          <w:rFonts w:eastAsia="Times New Roman" w:cs="Times New Roman"/>
          <w:bCs/>
          <w:szCs w:val="20"/>
        </w:rPr>
      </w:pPr>
      <w:bookmarkStart w:id="0" w:name="_GoBack"/>
      <w:bookmarkEnd w:id="0"/>
      <w:r>
        <w:rPr>
          <w:rFonts w:eastAsia="Times New Roman" w:cs="Times New Roman"/>
          <w:bCs/>
          <w:szCs w:val="20"/>
          <w:lang w:eastAsia="hr-HR"/>
        </w:rPr>
        <w:tab/>
        <w:t xml:space="preserve">        </w:t>
      </w:r>
      <w:r>
        <w:rPr/>
        <w:drawing>
          <wp:inline distT="0" distB="0" distL="0" distR="0">
            <wp:extent cx="571500" cy="762000"/>
            <wp:effectExtent l="0" t="0" r="0" b="0"/>
            <wp:docPr id="1" name="Slika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
                    <pic:cNvPicPr>
                      <a:picLocks noChangeAspect="1" noChangeArrowheads="1"/>
                    </pic:cNvPicPr>
                  </pic:nvPicPr>
                  <pic:blipFill>
                    <a:blip r:embed="rId2"/>
                    <a:stretch>
                      <a:fillRect/>
                    </a:stretch>
                  </pic:blipFill>
                  <pic:spPr bwMode="auto">
                    <a:xfrm>
                      <a:off x="0" y="0"/>
                      <a:ext cx="571500" cy="762000"/>
                    </a:xfrm>
                    <a:prstGeom prst="rect">
                      <a:avLst/>
                    </a:prstGeom>
                  </pic:spPr>
                </pic:pic>
              </a:graphicData>
            </a:graphic>
          </wp:inline>
        </w:drawing>
      </w:r>
    </w:p>
    <w:p>
      <w:pPr>
        <w:pStyle w:val="Normal"/>
        <w:widowControl w:val="false"/>
        <w:ind w:right="43" w:hanging="0"/>
        <w:rPr>
          <w:rFonts w:eastAsia="Times New Roman" w:cs="Times New Roman"/>
          <w:bCs/>
          <w:szCs w:val="20"/>
        </w:rPr>
      </w:pPr>
      <w:r>
        <w:rPr>
          <w:rFonts w:eastAsia="Times New Roman" w:cs="Times New Roman"/>
          <w:bCs/>
          <w:szCs w:val="20"/>
        </w:rPr>
        <w:t xml:space="preserve">     </w:t>
      </w:r>
      <w:r>
        <w:rPr>
          <w:rFonts w:eastAsia="Times New Roman" w:cs="Times New Roman"/>
          <w:bCs/>
          <w:szCs w:val="20"/>
        </w:rPr>
        <w:t>REPUBLIKA HRVATSKA</w:t>
      </w:r>
    </w:p>
    <w:p>
      <w:pPr>
        <w:pStyle w:val="Normal"/>
        <w:widowControl w:val="false"/>
        <w:ind w:right="-99" w:hanging="0"/>
        <w:rPr>
          <w:rFonts w:eastAsia="Times New Roman" w:cs="Times New Roman"/>
          <w:bCs/>
          <w:szCs w:val="20"/>
        </w:rPr>
      </w:pPr>
      <w:r>
        <w:rPr>
          <w:rFonts w:eastAsia="Times New Roman" w:cs="Times New Roman"/>
          <w:bCs/>
          <w:szCs w:val="20"/>
        </w:rPr>
        <w:t xml:space="preserve"> </w:t>
      </w:r>
      <w:r>
        <w:rPr>
          <w:rFonts w:eastAsia="Times New Roman" w:cs="Times New Roman"/>
          <w:bCs/>
          <w:szCs w:val="20"/>
        </w:rPr>
        <w:t>TRGOVAČKI SUD U PAZINU</w:t>
      </w:r>
    </w:p>
    <w:p>
      <w:pPr>
        <w:pStyle w:val="Normal"/>
        <w:widowControl w:val="false"/>
        <w:ind w:right="-99" w:hanging="0"/>
        <w:rPr>
          <w:rFonts w:eastAsia="Times New Roman" w:cs="Times New Roman"/>
          <w:bCs/>
          <w:szCs w:val="20"/>
        </w:rPr>
      </w:pPr>
      <w:r>
        <w:rPr>
          <w:rFonts w:eastAsia="Times New Roman" w:cs="Times New Roman"/>
          <w:bCs/>
          <w:szCs w:val="20"/>
        </w:rPr>
        <w:t xml:space="preserve">       </w:t>
      </w:r>
      <w:r>
        <w:rPr>
          <w:rFonts w:eastAsia="Times New Roman" w:cs="Times New Roman"/>
          <w:bCs/>
          <w:szCs w:val="20"/>
        </w:rPr>
        <w:t>Dršćevka 1, 52000 Pazin</w:t>
      </w:r>
    </w:p>
    <w:p>
      <w:pPr>
        <w:pStyle w:val="Normal"/>
        <w:jc w:val="left"/>
        <w:rPr>
          <w:rFonts w:eastAsia="Times New Roman" w:cs="Times New Roman"/>
          <w:szCs w:val="24"/>
          <w:lang w:eastAsia="hr-HR"/>
        </w:rPr>
      </w:pPr>
      <w:r>
        <w:rPr>
          <w:rFonts w:eastAsia="Times New Roman" w:cs="Times New Roman"/>
          <w:szCs w:val="24"/>
          <w:lang w:eastAsia="hr-HR"/>
        </w:rPr>
      </w:r>
    </w:p>
    <w:p>
      <w:pPr>
        <w:pStyle w:val="Normal"/>
        <w:jc w:val="center"/>
        <w:rPr>
          <w:rFonts w:eastAsia="Times New Roman" w:cs="Times New Roman"/>
          <w:szCs w:val="24"/>
          <w:lang w:eastAsia="hr-HR"/>
        </w:rPr>
      </w:pPr>
      <w:r>
        <w:rPr>
          <w:rFonts w:eastAsia="Times New Roman" w:cs="Times New Roman"/>
          <w:szCs w:val="24"/>
          <w:lang w:eastAsia="hr-HR"/>
        </w:rPr>
        <w:t>U   I M E   R E P U B L I K E   H R V A T S K E</w:t>
      </w:r>
    </w:p>
    <w:p>
      <w:pPr>
        <w:pStyle w:val="Normal"/>
        <w:jc w:val="center"/>
        <w:rPr>
          <w:rFonts w:eastAsia="Times New Roman" w:cs="Times New Roman"/>
          <w:szCs w:val="24"/>
          <w:lang w:eastAsia="hr-HR"/>
        </w:rPr>
      </w:pPr>
      <w:r>
        <w:rPr>
          <w:rFonts w:eastAsia="Times New Roman" w:cs="Times New Roman"/>
          <w:szCs w:val="24"/>
          <w:lang w:eastAsia="hr-HR"/>
        </w:rPr>
      </w:r>
    </w:p>
    <w:p>
      <w:pPr>
        <w:pStyle w:val="Normal"/>
        <w:jc w:val="center"/>
        <w:rPr>
          <w:rFonts w:eastAsia="Times New Roman" w:cs="Times New Roman"/>
          <w:szCs w:val="24"/>
          <w:lang w:eastAsia="hr-HR"/>
        </w:rPr>
      </w:pPr>
      <w:r>
        <w:rPr>
          <w:rFonts w:eastAsia="Times New Roman" w:cs="Times New Roman"/>
          <w:szCs w:val="24"/>
          <w:lang w:eastAsia="hr-HR"/>
        </w:rPr>
        <w:t xml:space="preserve">P R E S U D A </w:t>
      </w:r>
    </w:p>
    <w:p>
      <w:pPr>
        <w:pStyle w:val="Normal"/>
        <w:jc w:val="center"/>
        <w:rPr>
          <w:rFonts w:eastAsia="Times New Roman" w:cs="Times New Roman"/>
          <w:szCs w:val="24"/>
          <w:lang w:eastAsia="hr-HR"/>
        </w:rPr>
      </w:pPr>
      <w:r>
        <w:rPr>
          <w:rFonts w:eastAsia="Times New Roman" w:cs="Times New Roman"/>
          <w:szCs w:val="24"/>
          <w:lang w:eastAsia="hr-HR"/>
        </w:rPr>
      </w:r>
    </w:p>
    <w:p>
      <w:pPr>
        <w:pStyle w:val="Normal"/>
        <w:jc w:val="center"/>
        <w:rPr>
          <w:rFonts w:eastAsia="Times New Roman" w:cs="Times New Roman"/>
          <w:szCs w:val="24"/>
          <w:lang w:eastAsia="hr-HR"/>
        </w:rPr>
      </w:pPr>
      <w:r>
        <w:rPr>
          <w:rFonts w:eastAsia="Times New Roman" w:cs="Times New Roman"/>
          <w:szCs w:val="24"/>
          <w:lang w:eastAsia="hr-HR"/>
        </w:rPr>
        <w:t>i</w:t>
      </w:r>
    </w:p>
    <w:p>
      <w:pPr>
        <w:pStyle w:val="Normal"/>
        <w:jc w:val="center"/>
        <w:rPr>
          <w:rFonts w:eastAsia="Times New Roman" w:cs="Times New Roman"/>
          <w:szCs w:val="24"/>
          <w:lang w:eastAsia="hr-HR"/>
        </w:rPr>
      </w:pPr>
      <w:r>
        <w:rPr>
          <w:rFonts w:eastAsia="Times New Roman" w:cs="Times New Roman"/>
          <w:szCs w:val="24"/>
          <w:lang w:eastAsia="hr-HR"/>
        </w:rPr>
      </w:r>
    </w:p>
    <w:p>
      <w:pPr>
        <w:pStyle w:val="Normal"/>
        <w:jc w:val="center"/>
        <w:rPr>
          <w:rFonts w:eastAsia="Times New Roman" w:cs="Times New Roman"/>
          <w:szCs w:val="24"/>
          <w:lang w:eastAsia="hr-HR"/>
        </w:rPr>
      </w:pPr>
      <w:r>
        <w:rPr>
          <w:rFonts w:eastAsia="Times New Roman" w:cs="Times New Roman"/>
          <w:szCs w:val="24"/>
          <w:lang w:eastAsia="hr-HR"/>
        </w:rPr>
        <w:t>R J E Š E NJ E</w:t>
      </w:r>
    </w:p>
    <w:p>
      <w:pPr>
        <w:pStyle w:val="Normal"/>
        <w:jc w:val="center"/>
        <w:rPr>
          <w:rFonts w:eastAsia="Times New Roman" w:cs="Times New Roman"/>
          <w:szCs w:val="24"/>
          <w:lang w:eastAsia="hr-HR"/>
        </w:rPr>
      </w:pPr>
      <w:r>
        <w:rPr>
          <w:rFonts w:eastAsia="Times New Roman" w:cs="Times New Roman"/>
          <w:szCs w:val="24"/>
          <w:lang w:eastAsia="hr-HR"/>
        </w:rPr>
      </w:r>
    </w:p>
    <w:p>
      <w:pPr>
        <w:pStyle w:val="Normal"/>
        <w:ind w:firstLine="720"/>
        <w:rPr>
          <w:rFonts w:eastAsia="Times New Roman" w:cs="Times New Roman"/>
          <w:szCs w:val="24"/>
          <w:lang w:eastAsia="hr-HR"/>
        </w:rPr>
      </w:pPr>
      <w:r>
        <w:rPr>
          <w:rFonts w:eastAsia="Times New Roman" w:cs="Times New Roman"/>
          <w:szCs w:val="24"/>
          <w:lang w:eastAsia="hr-HR"/>
        </w:rPr>
        <w:t xml:space="preserve">Trgovački sud u Pazinu, po sutkinji Adrijani Labinjan Skok, na temelju prijedloga sudske savjetnice Mihaele Kaligari, u pravnoj stvari tužitelja </w:t>
      </w:r>
      <w:r>
        <w:rPr>
          <w:rFonts w:eastAsia="Times New Roman"/>
          <w:szCs w:val="24"/>
        </w:rPr>
        <w:t xml:space="preserve">ULJANIK Strojogradnja Diesel d. d. Pula, Flaciusova 1, OIB 35951488983, </w:t>
      </w:r>
      <w:r>
        <w:rPr>
          <w:rFonts w:eastAsia="Times New Roman"/>
          <w:szCs w:val="24"/>
          <w:lang w:eastAsia="hr-HR"/>
        </w:rPr>
        <w:t xml:space="preserve">(ranije ULJANIK Strojogradnja d. d. Pula), kojeg zastupa zastupnik po zakonu Milko Mihovilović, protiv tuženika </w:t>
      </w:r>
      <w:r>
        <w:rPr>
          <w:szCs w:val="24"/>
        </w:rPr>
        <w:t>HYDRO SISTEMI d. o. o. Žminj, Pucići 3, OIB 33385208786, kojeg zastupa punomoćnik Stelio Lapić, odvjetnik u Rovinju, 43. istarske divizije 35</w:t>
      </w:r>
      <w:r>
        <w:rPr>
          <w:color w:val="000000"/>
          <w:szCs w:val="24"/>
        </w:rPr>
        <w:t>, radi isplate iznosa od 70.126,31 kuna</w:t>
      </w:r>
      <w:r>
        <w:rPr/>
        <w:t xml:space="preserve">, </w:t>
      </w:r>
      <w:r>
        <w:rPr>
          <w:bCs/>
          <w:szCs w:val="24"/>
        </w:rPr>
        <w:t xml:space="preserve">nakon održanog </w:t>
      </w:r>
      <w:r>
        <w:rPr>
          <w:rFonts w:eastAsia="Times New Roman" w:cs="Times New Roman"/>
          <w:szCs w:val="24"/>
          <w:lang w:eastAsia="hr-HR"/>
        </w:rPr>
        <w:t xml:space="preserve">pripremnog ročišta i glavne rasprave zaključene 19. rujna 2017. u prisutnosti punomoćnice tužitelja po zaposlenju Ane Tonc, i zamjenice punomoćnika tuženika Lene Macan Codacci, odvjetničke vježbenice kod punomoćnika, </w:t>
      </w:r>
      <w:r>
        <w:rPr/>
        <w:t>6. listopada 2017.</w:t>
      </w:r>
    </w:p>
    <w:p>
      <w:pPr>
        <w:pStyle w:val="Normal"/>
        <w:ind w:firstLine="708"/>
        <w:rPr>
          <w:rFonts w:eastAsia="Times New Roman" w:cs="Times New Roman"/>
          <w:szCs w:val="24"/>
          <w:lang w:eastAsia="hr-HR"/>
        </w:rPr>
      </w:pPr>
      <w:r>
        <w:rPr>
          <w:rFonts w:eastAsia="Times New Roman" w:cs="Times New Roman"/>
          <w:szCs w:val="24"/>
          <w:lang w:eastAsia="hr-HR"/>
        </w:rPr>
      </w:r>
    </w:p>
    <w:p>
      <w:pPr>
        <w:pStyle w:val="Normal"/>
        <w:jc w:val="center"/>
        <w:rPr>
          <w:rFonts w:eastAsia="Times New Roman" w:cs="Times New Roman"/>
          <w:szCs w:val="24"/>
          <w:lang w:eastAsia="hr-HR"/>
        </w:rPr>
      </w:pPr>
      <w:r>
        <w:rPr>
          <w:rFonts w:eastAsia="Times New Roman" w:cs="Times New Roman"/>
          <w:szCs w:val="24"/>
          <w:lang w:eastAsia="hr-HR"/>
        </w:rPr>
        <w:t>p r e s u d i o   j e</w:t>
      </w:r>
    </w:p>
    <w:p>
      <w:pPr>
        <w:pStyle w:val="Normal"/>
        <w:jc w:val="left"/>
        <w:rPr>
          <w:rFonts w:eastAsia="Times New Roman" w:cs="Times New Roman"/>
          <w:szCs w:val="24"/>
          <w:lang w:eastAsia="hr-HR"/>
        </w:rPr>
      </w:pPr>
      <w:r>
        <w:rPr>
          <w:rFonts w:eastAsia="Times New Roman" w:cs="Times New Roman"/>
          <w:szCs w:val="24"/>
          <w:lang w:eastAsia="hr-HR"/>
        </w:rPr>
      </w:r>
    </w:p>
    <w:p>
      <w:pPr>
        <w:pStyle w:val="Normal"/>
        <w:ind w:firstLine="708"/>
        <w:rPr>
          <w:rFonts w:eastAsia="Times New Roman" w:cs="Times New Roman"/>
          <w:szCs w:val="24"/>
          <w:lang w:eastAsia="hr-HR"/>
        </w:rPr>
      </w:pPr>
      <w:r>
        <w:rPr>
          <w:rFonts w:eastAsia="Times New Roman" w:cs="Times New Roman"/>
          <w:szCs w:val="24"/>
          <w:lang w:eastAsia="hr-HR"/>
        </w:rPr>
        <w:t>I. Održava se</w:t>
      </w:r>
      <w:r>
        <w:rPr>
          <w:rFonts w:eastAsia="Calibri" w:cs="Times New Roman"/>
        </w:rPr>
        <w:t xml:space="preserve"> na snazi platni nalog sadržan u rješenju o ovrsi na temelju vjerodostojne isprave javnog bilježnika </w:t>
      </w:r>
      <w:r>
        <w:rPr>
          <w:rFonts w:eastAsia="Times New Roman" w:cs="Times New Roman"/>
          <w:szCs w:val="24"/>
          <w:lang w:eastAsia="hr-HR"/>
        </w:rPr>
        <w:t xml:space="preserve">Nansi Kopić iz Pule, Anticova 9/I, posl. br. Ovrv-612/15 od 20. kolovoza 2015., u dijelu u kojem je tuženiku naloženo da u roku od osam dana tužitelju namiri novčanu tražbinu u iznosu od 67.646,31 kn (šezdesetsedamtisućašestočetrdesetšest kuna i tridesetijednu lipu) sa zateznim kamatama koje na iznos od 60.003,81 kn teku od 22. kolovoza 2015., na iznos od 5.245,00 kn od 26. svibnja 2015. i na iznos od 2.397,50 kn od 6. lipnja 2015., sve do isplate; zatezne kamate na iznos od 61.003,81 kn za razdoblje od 28. travnja 2015. do 20. kolovoza 2015., i zatezne kamate na iznos od 1.480,00 kn za razdoblje od 1. svibnja 2015. do 19. kolovoza 2015.; sve </w:t>
      </w:r>
      <w:r>
        <w:rPr>
          <w:rFonts w:eastAsia="Calibri" w:cs="Times New Roman"/>
        </w:rPr>
        <w:t xml:space="preserve">po referentnoj stopi uvećanoj za osam postotnih poena sukladno čl. 12.a st. 2. Zakona o financijskom poslovanju i predstečajnoj nagodbi za razdoblje do 31. srpnja 2015., a od 1. kolovoza 2015. po stopi koja se određuje za svako polugodište uvećanjem prosječne kamatne stope na stanja kredita odobrenih na razdoblje dulje od godine dana nefinancijskim trgovačkim društvima izračunate za referentno razdoblje koje prethodi tekućem polugodištu za pet postotnih poena; kao i u dijelu u kojem je tuženiku naloženo da u roku od osam dana tužitelju naknadi nastale troškove ovršnog postupka u iznosu od 1.370,08 kn (tisućutristosedamdeset kuna i osam lipa) sa zateznim kamatama od 20. kolovoza 2015. do isplate, </w:t>
      </w:r>
      <w:r>
        <w:rPr/>
        <w:t xml:space="preserve">po stopi koja se </w:t>
      </w:r>
      <w:r>
        <w:rPr>
          <w:rFonts w:eastAsia="Times New Roman"/>
          <w:szCs w:val="24"/>
          <w:lang w:eastAsia="hr-HR"/>
        </w:rPr>
        <w:t xml:space="preserve">određuje za svako polugodište </w:t>
      </w:r>
      <w:r>
        <w:rPr/>
        <w:t>uvećanjem prosječne kamatne stope na stanja kredita odobrenih na razdoblje dulje od godine dana nefinancijskim trgovačkim društvima izračunate za referentno razdoblje koje prethodi tekućem polugodištu za tri postotna poena.</w:t>
      </w:r>
    </w:p>
    <w:p>
      <w:pPr>
        <w:pStyle w:val="Normal"/>
        <w:ind w:firstLine="708"/>
        <w:rPr>
          <w:rFonts w:eastAsia="Calibri" w:cs="Times New Roman"/>
          <w:highlight w:val="yellow"/>
        </w:rPr>
      </w:pPr>
      <w:r>
        <w:rPr>
          <w:rFonts w:eastAsia="Calibri" w:cs="Times New Roman"/>
          <w:highlight w:val="yellow"/>
        </w:rPr>
      </w:r>
    </w:p>
    <w:p>
      <w:pPr>
        <w:pStyle w:val="Normal"/>
        <w:ind w:firstLine="708"/>
        <w:rPr>
          <w:rFonts w:eastAsia="Calibri" w:cs="Times New Roman"/>
        </w:rPr>
      </w:pPr>
      <w:r>
        <w:rPr>
          <w:rFonts w:eastAsia="Calibri" w:cs="Times New Roman"/>
        </w:rPr>
        <w:t xml:space="preserve">II. Ukida se platni nalog sadržan u rješenju o ovrsi na temelju vjerodostojne isprave javnog bilježnika </w:t>
      </w:r>
      <w:r>
        <w:rPr>
          <w:rFonts w:eastAsia="Times New Roman" w:cs="Times New Roman"/>
          <w:szCs w:val="24"/>
          <w:lang w:eastAsia="hr-HR"/>
        </w:rPr>
        <w:t xml:space="preserve">Nansi Kopić iz Pule, Anticova 9/I, posl. br. Ovrv-612/15 od 20. kolovoza 2015., </w:t>
      </w:r>
      <w:r>
        <w:rPr>
          <w:rFonts w:eastAsia="Calibri" w:cs="Times New Roman"/>
        </w:rPr>
        <w:t>u dijelu u kojem je tuženiku naloženo da u roku od osam dana tužitelju namiri zatezne kamate na iznos od 61.003,81 kn za dan 21. kolovoza 2015., te se u tom dijelu tužbeni zahtjev odbija.</w:t>
      </w:r>
    </w:p>
    <w:p>
      <w:pPr>
        <w:pStyle w:val="Normal"/>
        <w:jc w:val="center"/>
        <w:rPr>
          <w:rFonts w:eastAsia="Times New Roman" w:cs="Times New Roman"/>
          <w:szCs w:val="24"/>
          <w:lang w:eastAsia="hr-HR"/>
        </w:rPr>
      </w:pPr>
      <w:r>
        <w:rPr>
          <w:rFonts w:eastAsia="Times New Roman" w:cs="Times New Roman"/>
          <w:szCs w:val="24"/>
          <w:lang w:eastAsia="hr-HR"/>
        </w:rPr>
        <w:t>r i j e š i o   j e</w:t>
      </w:r>
    </w:p>
    <w:p>
      <w:pPr>
        <w:pStyle w:val="Normal"/>
        <w:jc w:val="center"/>
        <w:rPr>
          <w:rFonts w:eastAsia="Times New Roman" w:cs="Times New Roman"/>
          <w:szCs w:val="24"/>
          <w:lang w:eastAsia="hr-HR"/>
        </w:rPr>
      </w:pPr>
      <w:r>
        <w:rPr>
          <w:rFonts w:eastAsia="Times New Roman" w:cs="Times New Roman"/>
          <w:szCs w:val="24"/>
          <w:lang w:eastAsia="hr-HR"/>
        </w:rPr>
      </w:r>
    </w:p>
    <w:p>
      <w:pPr>
        <w:pStyle w:val="Normal"/>
        <w:ind w:firstLine="708"/>
        <w:rPr>
          <w:rFonts w:eastAsia="Calibri" w:cs="Times New Roman"/>
        </w:rPr>
      </w:pPr>
      <w:r>
        <w:rPr>
          <w:rFonts w:eastAsia="Times New Roman" w:cs="Times New Roman"/>
          <w:szCs w:val="24"/>
          <w:lang w:eastAsia="hr-HR"/>
        </w:rPr>
        <w:t xml:space="preserve">I. </w:t>
      </w:r>
      <w:r>
        <w:rPr>
          <w:rFonts w:eastAsia="Calibri" w:cs="Times New Roman"/>
        </w:rPr>
        <w:t xml:space="preserve">Ukida se platni nalog sadržan u rješenju o ovrsi na temelju vjerodostojne isprave javnog bilježnika </w:t>
      </w:r>
      <w:r>
        <w:rPr>
          <w:rFonts w:eastAsia="Times New Roman" w:cs="Times New Roman"/>
          <w:szCs w:val="24"/>
          <w:lang w:eastAsia="hr-HR"/>
        </w:rPr>
        <w:t xml:space="preserve">Nansi Kopić iz Pule, Anticova 9/I, posl. br. Ovrv-612/15 od 20. kolovoza 2015., </w:t>
      </w:r>
      <w:r>
        <w:rPr>
          <w:rFonts w:eastAsia="Calibri" w:cs="Times New Roman"/>
        </w:rPr>
        <w:t>u dijelu</w:t>
      </w:r>
      <w:r>
        <w:rPr>
          <w:rFonts w:eastAsia="Times New Roman" w:cs="Times New Roman"/>
          <w:szCs w:val="24"/>
          <w:lang w:eastAsia="hr-HR"/>
        </w:rPr>
        <w:t xml:space="preserve"> u kojem je tuženiku naloženo da u roku od osam dana tužitelju namiri novčanu tražbinu u iznosu</w:t>
      </w:r>
      <w:r>
        <w:rPr>
          <w:rFonts w:eastAsia="Calibri" w:cs="Times New Roman"/>
        </w:rPr>
        <w:t xml:space="preserve"> 2.480,00 kn; kao i u dijelu u kojem je tuženiku naloženo da u roku od osam dana tužitelju naknadi predvidive troškove ovršnog postupka u iznosu od 104,00 kn sa zateznim kamatama od pravomoćnosti rješenja o ovrsi do isplate; </w:t>
      </w:r>
      <w:r>
        <w:rPr>
          <w:rFonts w:eastAsia="Times New Roman" w:cs="Times New Roman"/>
          <w:szCs w:val="24"/>
          <w:lang w:eastAsia="hr-HR"/>
        </w:rPr>
        <w:t>te se utvrđuje da su tužba i zahtjev za naknadu troškova postupka u tim dijelovima povučeni.</w:t>
      </w:r>
    </w:p>
    <w:p>
      <w:pPr>
        <w:pStyle w:val="Normal"/>
        <w:rPr>
          <w:rFonts w:eastAsia="Times New Roman" w:cs="Times New Roman"/>
          <w:szCs w:val="24"/>
          <w:highlight w:val="yellow"/>
          <w:lang w:eastAsia="hr-HR"/>
        </w:rPr>
      </w:pPr>
      <w:r>
        <w:rPr>
          <w:rFonts w:eastAsia="Times New Roman" w:cs="Times New Roman"/>
          <w:szCs w:val="24"/>
          <w:highlight w:val="yellow"/>
          <w:lang w:eastAsia="hr-HR"/>
        </w:rPr>
      </w:r>
    </w:p>
    <w:p>
      <w:pPr>
        <w:pStyle w:val="Normal"/>
        <w:ind w:firstLine="708"/>
        <w:rPr>
          <w:rFonts w:eastAsia="Times New Roman"/>
          <w:szCs w:val="24"/>
          <w:lang w:eastAsia="hr-HR"/>
        </w:rPr>
      </w:pPr>
      <w:r>
        <w:rPr>
          <w:rFonts w:eastAsia="Times New Roman" w:cs="Times New Roman"/>
          <w:szCs w:val="24"/>
          <w:lang w:eastAsia="hr-HR"/>
        </w:rPr>
        <w:t>II. Nalaže se tuženiku da u roku od osam dana tužitelju naknadi troškove parničnog postupka u iznosu od 1.246,00 kn (tisućudvjestočetrdesetšest kuna) sa zateznim kamatama koje na taj iznos teku od 6. listopada 2017. do isplate, po stopi koja se određuje za svako polugodište uvećanjem prosječne kamatne stope na stanja kredita odobrenih na razdoblje dulje od godine dana nefinancijskim trgovačkim društvima izračunate za referentno razdoblje koje prethodi tekućem polugodištu za tri postotna poena.</w:t>
      </w:r>
    </w:p>
    <w:p>
      <w:pPr>
        <w:pStyle w:val="Normal"/>
        <w:rPr>
          <w:rFonts w:eastAsia="Times New Roman"/>
          <w:szCs w:val="24"/>
          <w:lang w:eastAsia="hr-HR"/>
        </w:rPr>
      </w:pPr>
      <w:r>
        <w:rPr>
          <w:rFonts w:eastAsia="Times New Roman"/>
          <w:szCs w:val="24"/>
          <w:lang w:eastAsia="hr-HR"/>
        </w:rPr>
      </w:r>
    </w:p>
    <w:p>
      <w:pPr>
        <w:pStyle w:val="Normal"/>
        <w:rPr>
          <w:rFonts w:eastAsia="Calibri" w:cs="Times New Roman"/>
        </w:rPr>
      </w:pPr>
      <w:r>
        <w:rPr>
          <w:rFonts w:eastAsia="Calibri" w:cs="Times New Roman"/>
        </w:rPr>
      </w:r>
    </w:p>
    <w:p>
      <w:pPr>
        <w:pStyle w:val="Normal"/>
        <w:jc w:val="center"/>
        <w:rPr>
          <w:rFonts w:eastAsia="Times New Roman" w:cs="Times New Roman"/>
          <w:szCs w:val="24"/>
          <w:lang w:eastAsia="hr-HR"/>
        </w:rPr>
      </w:pPr>
      <w:r>
        <w:rPr>
          <w:rFonts w:eastAsia="Times New Roman" w:cs="Times New Roman"/>
          <w:szCs w:val="24"/>
          <w:lang w:eastAsia="hr-HR"/>
        </w:rPr>
        <w:t>Obrazloženje</w:t>
      </w:r>
    </w:p>
    <w:p>
      <w:pPr>
        <w:pStyle w:val="Normal"/>
        <w:jc w:val="left"/>
        <w:rPr>
          <w:rFonts w:eastAsia="Times New Roman" w:cs="Times New Roman"/>
          <w:szCs w:val="24"/>
          <w:lang w:eastAsia="hr-HR"/>
        </w:rPr>
      </w:pPr>
      <w:r>
        <w:rPr>
          <w:rFonts w:eastAsia="Times New Roman" w:cs="Times New Roman"/>
          <w:szCs w:val="24"/>
          <w:lang w:eastAsia="hr-HR"/>
        </w:rPr>
      </w:r>
    </w:p>
    <w:p>
      <w:pPr>
        <w:pStyle w:val="Normal"/>
        <w:ind w:firstLine="708"/>
        <w:rPr>
          <w:rFonts w:eastAsia="Calibri" w:cs="Times New Roman"/>
        </w:rPr>
      </w:pPr>
      <w:r>
        <w:rPr>
          <w:rFonts w:eastAsia="Times New Roman" w:cs="Times New Roman"/>
          <w:szCs w:val="24"/>
          <w:lang w:eastAsia="hr-HR"/>
        </w:rPr>
        <w:t xml:space="preserve">Povodom prijedloga ovrhovoditelja, ovdje tužitelja, na temelju vjerodostojnih isprava (izvoda iz poslovnih knjiga i računa tužitelja), javni bilježnik Nansi Kopić donijela je rješenje o ovrsi posl. br. Ovrv-612/15 od 20. kolovoza 2015., kojim je ovršeniku, ovdje tuženiku, naloženo da tužitelju u roku od osam dana od dostave rješenja namiri novčanu tražbinu u iznosu od 70.126,31 kn sa zateznim kamatama koje na pojedinačne iznose teku kako slijedi: </w:t>
      </w:r>
      <w:r>
        <w:rPr>
          <w:rFonts w:eastAsia="Calibri" w:cs="Times New Roman"/>
        </w:rPr>
        <w:t>na iznos od 61.003,81 kn od 28. travnja 2015., na iznos od 1.480,00 kn od 1. svibnja 2015., na iznos od 5.245,00 kn od 26. svibnja 2015. i na iznos od 2.397,50 kn od 6. lipnja 2015., sve do isplate</w:t>
      </w:r>
      <w:r>
        <w:rPr>
          <w:rFonts w:eastAsia="Times New Roman" w:cs="Times New Roman"/>
          <w:szCs w:val="24"/>
          <w:lang w:eastAsia="hr-HR"/>
        </w:rPr>
        <w:t xml:space="preserve"> (t. 1.), kao </w:t>
      </w:r>
      <w:r>
        <w:rPr>
          <w:rFonts w:eastAsia="Calibri" w:cs="Times New Roman"/>
        </w:rPr>
        <w:t xml:space="preserve">i da mu naknadi nastale troškove ovršnog postupka u iznosu od 1.370,08 kn sa zateznim kamatama od donošenja rješenja o ovrsi do isplate (t. 3), </w:t>
      </w:r>
      <w:r>
        <w:rPr>
          <w:rFonts w:eastAsia="Calibri" w:cs="Times New Roman"/>
          <w:szCs w:val="24"/>
        </w:rPr>
        <w:t>te u slučaju da ne namiri glavnu novčanu tražbinu s troškovima, i predvidive troškove ovršnog postupka u iznosu od 104,00 kn sa zateznim kamatama od pravomoćnosti rješenja o ovrsi do isplate (t. 4.),</w:t>
      </w:r>
      <w:r>
        <w:rPr>
          <w:rFonts w:eastAsia="Calibri" w:cs="Times New Roman"/>
        </w:rPr>
        <w:t xml:space="preserve"> a radi ostvarenja tih tražbina određena je ovrha općenito na imovini tuženika (t. 2.).</w:t>
      </w:r>
    </w:p>
    <w:p>
      <w:pPr>
        <w:pStyle w:val="Normal"/>
        <w:ind w:firstLine="708"/>
        <w:rPr>
          <w:rFonts w:eastAsia="Calibri" w:cs="Times New Roman"/>
        </w:rPr>
      </w:pPr>
      <w:r>
        <w:rPr>
          <w:rFonts w:eastAsia="Calibri" w:cs="Times New Roman"/>
        </w:rPr>
        <w:t>Protiv navedenog rješenja o ovrsi tuženik je izjavio dopušten, pravodoban i obrazložen prigovor u kojem je osporio predmetno potraživanje tužitelja, pa je rješenje o ovrsi, na temelju odredbe čl. 58. st. 3. Ovršnog zakona (Narodne novine br. 112/12, 25/13, 93/14), ovosudnim rješenjem posl. br. 1 Povrv-1523/2015-2 od 13. svibnja 2016. stavljeno izvan snage u dijelu u kojem je određena ovrha i u tom su pogledu ukinute sve provedene radnje, dok je u odnosu na ostali dio (po pravomoćnosti 1. lipnja 2016.) postupak nastavljen kao u povodu prigovora protiv platnog naloga, odnosno kao parnični.</w:t>
      </w:r>
    </w:p>
    <w:p>
      <w:pPr>
        <w:pStyle w:val="Normal"/>
        <w:ind w:firstLine="708"/>
        <w:rPr>
          <w:rFonts w:eastAsia="Times New Roman" w:cs="Times New Roman"/>
          <w:szCs w:val="24"/>
        </w:rPr>
      </w:pPr>
      <w:r>
        <w:rPr>
          <w:rFonts w:eastAsia="Calibri" w:cs="Times New Roman"/>
        </w:rPr>
        <w:t xml:space="preserve">Tuženik je u prigovoru naveo da osporava osnovanost i visinu predmetne tražbine jer to dugovanje tuženik nema prema tužitelju. Iz izvoda iz poslovnih knjiga tuženika proizlazi da bi tražbina tužitelja iznosila 67.646,31 kn pa je u svakom slučaju potrebno usklađenje otvorenih stavki između stranaka. Na pripremnom ročištu održanom kod ovog suda 5. travnja 2017. naveo je da osnovu i visinu potraživanja osporava jer računi koje je tužitelj priložio nisu dokaz da bi roba bila primljena odnosno usluga izvršena, a </w:t>
      </w:r>
      <w:r>
        <w:rPr>
          <w:rFonts w:eastAsia="Times New Roman" w:cs="Times New Roman"/>
          <w:szCs w:val="24"/>
        </w:rPr>
        <w:t>u podnesku od 19. rujna 2017. predanom na ročištu za glavnu raspravu održanom istog dana, naveo je da utužene račune podmirio (neke u cijelosti, neke djelomično), kao i da po jednom računu nije iskoristio pravo na odbitak pretporeza.</w:t>
      </w:r>
    </w:p>
    <w:p>
      <w:pPr>
        <w:pStyle w:val="Normal"/>
        <w:ind w:firstLine="708"/>
        <w:rPr>
          <w:rFonts w:eastAsia="Calibri" w:cs="Times New Roman"/>
        </w:rPr>
      </w:pPr>
      <w:r>
        <w:rPr>
          <w:rFonts w:eastAsia="Calibri" w:cs="Times New Roman"/>
        </w:rPr>
        <w:t>Očitujući se na osporavanja tuženika, tužitelj je u podnesku od 7. ožujka 2017. naveo kako je tuženik u prigovoru osporio samo dio potraživanja i to za iznos od 2.480,00 kn. Tužitelj je prijedlog za ovrhu podnio 20. kolovoza 2015. s kojim danom koincidira uplata tuženika u iznosu od 1.480,00 kn čime je tuženik podmirio račun br. 112/P1/1 od 16. travnja 2015. (ispostavljen na iznos od 1.480,00 kn). Tuženik je 21. kolovoza 2015. uplatio još iznos od 1.000,00 kn čime je podmirio dio računa br. 106/P1/1 od 15. travnja 2015. (ispostavljen na iznos od 61.003,81 kn). Tužitelj je za navedene iznose potraživanja povukao tužbu te je ostao pri zahtjevu za isplatu iznosa od 67.646,31 kn sa zateznim kamatama koje na iznos od 60.003,81 kn teku od 22. kolovoza 2015., na iznos od 5.245,00 kn od 26. svibnja 2015. i na iznos od 2.397,50 kn od 6. lipnja 2015., kao i za isplatu zateznih kamata na iznos od 1.480,00 kn za razdoblje od 1. svibnja 2015. do 19. kolovoza 2015., te na iznos od 61.003,81 kn za razdoblje od 28. travnja 2015. do 21. kolovoza 2015.</w:t>
      </w:r>
    </w:p>
    <w:p>
      <w:pPr>
        <w:pStyle w:val="Normal"/>
        <w:ind w:firstLine="708"/>
        <w:rPr>
          <w:rFonts w:eastAsia="Calibri" w:cs="Times New Roman"/>
        </w:rPr>
      </w:pPr>
      <w:r>
        <w:rPr>
          <w:rFonts w:eastAsia="Calibri" w:cs="Times New Roman"/>
        </w:rPr>
        <w:t>Tuženik je na navedeno djelomično povlačenje tužbe pristao, pa sud</w:t>
      </w:r>
      <w:r>
        <w:rPr>
          <w:rFonts w:eastAsia="Times New Roman" w:cs="Times New Roman"/>
          <w:szCs w:val="24"/>
        </w:rPr>
        <w:t xml:space="preserve"> u dijelu za koji je tužba povučena </w:t>
      </w:r>
      <w:r>
        <w:rPr>
          <w:rFonts w:eastAsia="Calibri" w:cs="Times New Roman"/>
        </w:rPr>
        <w:t xml:space="preserve">nije razmatrao osnovanost tužbenog zahtjeva, već je na </w:t>
      </w:r>
      <w:r>
        <w:rPr>
          <w:rFonts w:eastAsia="Times New Roman" w:cs="Times New Roman"/>
          <w:szCs w:val="24"/>
        </w:rPr>
        <w:t xml:space="preserve">temelju odredbi čl. 193. st. 2. i čl. 456. st. 1. Zakona o parničnom postupku (Narodne novine br. 53/91, 91/92, 112/99, 88/01, 117/03, 88/05, 02/07-Odluka USRH, 84/08, 96/08-Odluka USRH, 123/08, 57/11, 148/11, 25/13 i 89/14-Odluka USRH, dalje ZPP) ukinuo platni nalog sadržan u rješenju o ovrsi </w:t>
      </w:r>
      <w:r>
        <w:rPr>
          <w:rFonts w:eastAsia="Calibri" w:cs="Times New Roman"/>
        </w:rPr>
        <w:t>kao u t. I. izreke rješenja i utvrdio da je tužba povučena.</w:t>
      </w:r>
    </w:p>
    <w:p>
      <w:pPr>
        <w:pStyle w:val="Normal"/>
        <w:ind w:firstLine="708"/>
        <w:rPr>
          <w:rFonts w:eastAsia="Times New Roman" w:cs="Times New Roman"/>
          <w:szCs w:val="24"/>
        </w:rPr>
      </w:pPr>
      <w:r>
        <w:rPr>
          <w:rFonts w:eastAsia="Times New Roman" w:cs="Times New Roman"/>
          <w:szCs w:val="24"/>
          <w:lang w:eastAsia="hr-HR"/>
        </w:rPr>
        <w:t xml:space="preserve">U preostalom dijelu u kojem tužba nije povučena sud je ocjenom izvedenih dokaza, odnosno pročitanih isprava u spisu, i to otvorenih stavki kupaca tužitelja do 30. lipnja 2015. (listovi 4-5 spisa), ispisa nenaplaćenih potraživanja, prijepisa računa br. 106/P1/1 od 15. travnja 2015., br. 112/P1/1 od 16. travnja 2015., br. 142/P1/1 od 11. svibnja 2015. i br. 164/P1/1 od 21. svibnja 2015. (listovi 7-11 spisa), i podneska Ministarstva financija, Porezne uprave, Područnog ureda Istra, Hrvatsko primorje, Gorski kotar i Lika, Službe za utvrđivanje poreza i doprinosa, od 30. lipnja 2017. (list 51 spisa), te na temelju rezultata cjelokupnog postupka, a u skladu s odredbom čl. 8. </w:t>
      </w:r>
      <w:r>
        <w:rPr>
          <w:rFonts w:eastAsia="Times New Roman" w:cs="Times New Roman"/>
          <w:szCs w:val="24"/>
        </w:rPr>
        <w:t>ZPP-a, utvrdio da je tužbeni zahtjev osnovan, osim u neznatnom dijelu.</w:t>
      </w:r>
    </w:p>
    <w:p>
      <w:pPr>
        <w:pStyle w:val="Normal"/>
        <w:ind w:firstLine="708"/>
        <w:rPr>
          <w:rFonts w:eastAsia="Times New Roman" w:cs="Times New Roman"/>
          <w:szCs w:val="24"/>
          <w:lang w:eastAsia="hr-HR"/>
        </w:rPr>
      </w:pPr>
      <w:r>
        <w:rPr>
          <w:rFonts w:eastAsia="Times New Roman" w:cs="Times New Roman"/>
          <w:szCs w:val="24"/>
        </w:rPr>
        <w:t xml:space="preserve">Predmetno potraživanje tužitelja odnosi se na </w:t>
      </w:r>
      <w:r>
        <w:rPr>
          <w:rFonts w:eastAsia="Times New Roman" w:cs="Times New Roman"/>
          <w:szCs w:val="24"/>
          <w:lang w:eastAsia="hr-HR"/>
        </w:rPr>
        <w:t>neplaćenu, a isporučenu robu tuženiku, u ukupnom iznosu od 67.646,31 kn po računima br. 106 od 15. travnja 2015. (s dospijećem 27. travnja 2015., na iznos od 61.003,81 kn, djelomično podmiren 21. kolovoza 2015. za iznos 1.000,00 kn), br. 142 od 11. svibnja 2015. (s dospijećem 25. svibnja 2015., na iznos od 5.245,00 kn) i br. 164 od 21. svibnja 2015. (s dospijećem 5. lipnja 2016., na iznos od 2.397,50 kn).</w:t>
      </w:r>
    </w:p>
    <w:p>
      <w:pPr>
        <w:pStyle w:val="Normal"/>
        <w:ind w:firstLine="708"/>
        <w:rPr>
          <w:rFonts w:eastAsia="Times New Roman" w:cs="Times New Roman"/>
          <w:szCs w:val="24"/>
        </w:rPr>
      </w:pPr>
      <w:r>
        <w:rPr>
          <w:rFonts w:eastAsia="Times New Roman" w:cs="Times New Roman"/>
          <w:szCs w:val="24"/>
        </w:rPr>
        <w:t xml:space="preserve">Prema dopisu </w:t>
      </w:r>
      <w:r>
        <w:rPr>
          <w:rFonts w:eastAsia="Times New Roman" w:cs="Times New Roman"/>
          <w:szCs w:val="24"/>
          <w:lang w:eastAsia="hr-HR"/>
        </w:rPr>
        <w:t xml:space="preserve">nadležne porezne uprave od 30. lipnja 2017. </w:t>
      </w:r>
      <w:r>
        <w:rPr>
          <w:rFonts w:eastAsia="Times New Roman" w:cs="Times New Roman"/>
          <w:szCs w:val="24"/>
        </w:rPr>
        <w:t xml:space="preserve">proizlazi da je tuženik po utuženim računima, izuzev računa br. 142 od 11. svibnja 2015., iskoristio pravo na odbitak pretporeza. </w:t>
      </w:r>
      <w:r>
        <w:rPr>
          <w:rFonts w:eastAsia="Calibri" w:cs="Times New Roman"/>
          <w:szCs w:val="24"/>
        </w:rPr>
        <w:t xml:space="preserve">Odredbom čl. 221.b st. 1. ZPP-a propisano je da ako tužitelj dokaže da je tuženik za tražbinu koju je tužitelj utužio na temelju vjerodostojne isprave koristio pravo na odbitak pretporeza, smatrat će se da tražbina postoji, osim ako tuženik ne dokaže suprotno. </w:t>
      </w:r>
      <w:r>
        <w:rPr>
          <w:rFonts w:eastAsia="Times New Roman" w:cs="Times New Roman"/>
          <w:szCs w:val="24"/>
        </w:rPr>
        <w:t xml:space="preserve">Budući da je utvrđeno da je tuženik koristio odbitak pretporeza po utuženim računima </w:t>
      </w:r>
      <w:r>
        <w:rPr>
          <w:rFonts w:eastAsia="Times New Roman" w:cs="Times New Roman"/>
          <w:szCs w:val="24"/>
          <w:lang w:eastAsia="hr-HR"/>
        </w:rPr>
        <w:t>br. 106 od 15. travnja 2015. (iznos od 60.003,81 kn) i br. 164 od 21. svibnja 2015. (iznos od 2.397,50 kn)</w:t>
      </w:r>
      <w:r>
        <w:rPr>
          <w:rFonts w:eastAsia="Times New Roman" w:cs="Times New Roman"/>
          <w:szCs w:val="24"/>
        </w:rPr>
        <w:t>, što nije posebno osporio i nije predložio izvođenje kakvih dokaza da dokaže suprotno, a niti je predložio izvođenje kakvog dokaza da je predmetno dugovanje podmirio za utvrditi je da tražbina tužitelja, u tom dijelu kako je utužena, postoji. Navodi tuženika iznijeti u podnesku od 19. rujna 2017. predanom na ročištu za glavnu raspravu održanom istog dana, i to da je račun br. 106 djelomično plaćen uplatom od 570,00 kn (11. lipnja 2015.), uplatom od 10.000,00 kn (10. travnja 2015.) i izvršenom kompenzacijom u iznosu 6.967,50 kn (1. svibnja 2015.), pa da preostalo dugovanje po tom računu iznosi 53.036,31 kn, kao i da je račun br. 164 podmiren u cijelosti (10. travnja 2015.), iznijeti su protivno odredbi čl. 299. st. 1. ZPP-a koja propisuje da su stranke dužne već u tužbi i odgovoru na tužbu, a najkasnije na pripremnom ročištu iznijeti sve činjenice na kojima temelje svoje zahtjeve, predložiti dokaze potrebne za utvrđivanje iznesenih činjenica te se izjasniti o činjeničnim navodima i dokaznim prijedlozima protivne stranke. Jednako tako, karticu dobavljača tuženika kao dokaz o izvršenim plaćanjima, tuženik je protivno citiranoj odredbi čl. 299. st. 1. ZPP-a, predao tijekom glavne rasprave, pa je sud sukladno odredbi čl. 299. st. 3. ZPP-a nije mogao uzeti u obzir (što je tuženiku uostalom napomenuto na ročištu za glavnu raspravu).</w:t>
      </w:r>
    </w:p>
    <w:p>
      <w:pPr>
        <w:pStyle w:val="Normal"/>
        <w:ind w:firstLine="708"/>
        <w:rPr>
          <w:rFonts w:eastAsia="Times New Roman" w:cs="Times New Roman"/>
          <w:szCs w:val="24"/>
        </w:rPr>
      </w:pPr>
      <w:r>
        <w:rPr>
          <w:rFonts w:eastAsia="Times New Roman" w:cs="Times New Roman"/>
          <w:szCs w:val="24"/>
        </w:rPr>
        <w:t xml:space="preserve">Slijedom navedenog, </w:t>
      </w:r>
      <w:r>
        <w:rPr>
          <w:rFonts w:eastAsia="Calibri" w:cs="Times New Roman"/>
        </w:rPr>
        <w:t>uzimajući u obzir i pravilo o teretu dokazivanja iz čl. 221.a ZPP-a prema kojem istinitost određene tvrdnje treba dokazivati onaj koji tvrdi da određena činjenica postoji,</w:t>
      </w:r>
      <w:r>
        <w:rPr>
          <w:rFonts w:eastAsia="Times New Roman" w:cs="Times New Roman"/>
          <w:szCs w:val="24"/>
        </w:rPr>
        <w:t xml:space="preserve"> utvrđeno je da tražbina tužitelja po utuženim računima </w:t>
      </w:r>
      <w:r>
        <w:rPr>
          <w:rFonts w:eastAsia="Times New Roman" w:cs="Times New Roman"/>
          <w:szCs w:val="24"/>
          <w:lang w:eastAsia="hr-HR"/>
        </w:rPr>
        <w:t>br. 106 od 15. travnja 2015. (iznos od 60.003,81 kn) i br. 164 od 21. svibnja 2015.</w:t>
      </w:r>
      <w:r>
        <w:rPr>
          <w:rFonts w:eastAsia="Times New Roman" w:cs="Times New Roman"/>
          <w:szCs w:val="24"/>
        </w:rPr>
        <w:t xml:space="preserve"> (iznos od 2.397,50 kn) postoji, zbog čega je, i </w:t>
      </w:r>
      <w:r>
        <w:rPr>
          <w:rFonts w:eastAsia="Calibri" w:cs="Times New Roman"/>
        </w:rPr>
        <w:t xml:space="preserve">u skladu s odredbom </w:t>
      </w:r>
      <w:r>
        <w:rPr/>
        <w:t>čl. 9. Zakona o obveznim odnosima (Narodne novine br.</w:t>
      </w:r>
      <w:r>
        <w:rPr>
          <w:rFonts w:eastAsia="Calibri" w:cs="Times New Roman"/>
          <w:szCs w:val="24"/>
        </w:rPr>
        <w:t xml:space="preserve"> 35/05, 41/08, nadalje ZOO), </w:t>
      </w:r>
      <w:r>
        <w:rPr>
          <w:rFonts w:eastAsia="Calibri" w:cs="Times New Roman"/>
        </w:rPr>
        <w:t>prema kojoj je sudionik u obveznom odnosu dužan ispuniti svoju obvezu i odgovoran je za njezino ispunjenje, sud prihvatio tužbeni zahtjev te obvezao tuženika platiti tužitelju utuženu tražbinu u tom dijelu u cijelosti.</w:t>
      </w:r>
    </w:p>
    <w:p>
      <w:pPr>
        <w:pStyle w:val="Normal"/>
        <w:ind w:firstLine="708"/>
        <w:rPr>
          <w:rFonts w:eastAsia="Times New Roman" w:cs="Times New Roman"/>
          <w:szCs w:val="24"/>
        </w:rPr>
      </w:pPr>
      <w:r>
        <w:rPr>
          <w:rFonts w:eastAsia="Calibri" w:cs="Times New Roman"/>
        </w:rPr>
        <w:t>U odnosu na potraživanje tužitelja po računu br. 142 od 11. svibnja 2015. (iznos od 5.245,00 kn), po kojem tuženik nije koristio pravo na odbitak pretporeza, osporavanje tuženika ostalo je u cijelosti paušalno, budući da je tuženik u prigovoru protiv rješenja o ovrsi u suštini osporio isključivo visinu potraživanja s obrazloženjem da je dio potraživanja podmirio, a uz prigovor je priložio i svoj izvod iz poslovnih knjiga (list 16 spisa) iz kojeg proizlazi da je potraživanje tužitelja po tom računu evidentirao u svojim poslovnim knjigama („faktura 142, potražuje 5.245,00 kn, valuta 25. svibnja 2015., datum 11. svibnja 2015.“). Stoga je sud naknadna osporavanja tuženika (iznijeta tijekom postupka, i to da za taj račun nije korišten odbitak pretporeza i da iz tog razloga tražbina tužitelja ne postoji, kao i da računi nisu dokaz osnove i visine potraživanja), ocijenio neosnovanima. Osim toga, tuženik nije posebno osporavao da bi preuzeo robu iz tužiteljevih računa za koje je koristio odbitak pretporeza, pa ni za onaj račun po kojem nije koristio pravo na odbitak pretporeza. Stoga je sud prihvatio tužbeni zahtjev i u tom dijelu te obvezao tuženika platiti tužitelju i tu utuženu tražbinu u cijelosti.</w:t>
      </w:r>
    </w:p>
    <w:p>
      <w:pPr>
        <w:pStyle w:val="Normal"/>
        <w:ind w:firstLine="708"/>
        <w:rPr>
          <w:rFonts w:eastAsia="Calibri"/>
        </w:rPr>
      </w:pPr>
      <w:r>
        <w:rPr>
          <w:rFonts w:eastAsia="Calibri"/>
        </w:rPr>
        <w:t xml:space="preserve">Sukladno odredbi čl. 29. ZOO-a </w:t>
      </w:r>
      <w:r>
        <w:rPr/>
        <w:t xml:space="preserve">u vezi s čl. 183. st. 1. ZOO-a </w:t>
      </w:r>
      <w:r>
        <w:rPr>
          <w:rFonts w:eastAsia="Calibri"/>
        </w:rPr>
        <w:t>dužnik koji zakasni s ispunjenjem novčane obveze duguje, osim glavnice, i zatezne kamate. Dužnik dolazi u zakašnjenje sljedećeg dana od dana kada je trebao ispuniti obvezu pa je tijek zateznih kamata određen po tom pravilu, a prema dospijeću svakog pojedinog računa. Budući da je tuženik iznos po računu br. 112 od 16. travnja 2015. (iznos od 1.480,00 kn) s dospijećem 30. travnja 2015. podmirio u zakašnjenju odnosno 20. kolovoza 2015. (što tuženik nije osporio, a i na listu 23 spisa), tužitelju pripadaju i zatezne kamate na taj iznos kako je to tužitelj pravilno zatražio od 1. svibnja 2015. (sljedeći dan od dospijeća) do 19. kolovoza 2015. Jednako tako, tužitelj pravilno potražuje zatezne kamate na iznos od 61.003,81 kn, ali za razdoblje od 28. travnja 2015. (sljedeći dan od dospijeća) do zaključno s danom 20. kolovoza 2015. (a ne 21. kolovoza 2015. jer je tužitelj tog dana primio ispunjenje te obveze, list 24 spisa).</w:t>
      </w:r>
    </w:p>
    <w:p>
      <w:pPr>
        <w:pStyle w:val="Normal"/>
        <w:ind w:firstLine="708"/>
        <w:rPr>
          <w:rFonts w:eastAsia="Calibri" w:cs="Times New Roman"/>
        </w:rPr>
      </w:pPr>
      <w:r>
        <w:rPr>
          <w:rFonts w:eastAsia="Calibri" w:cs="Times New Roman"/>
        </w:rPr>
        <w:t>Visina stope zateznih kamata određena je po referentnoj stopi uvećanoj za osam postotnih poena sukladno čl. 12.a st. 2. Zakona o financijskom poslovanju i predstečajnoj nagodbi (Narodne novine br. 108/12, 144/12, 81/13 i 112/13) za razdoblje do 31. srpnja 2015., budući da se ta zakonska odredba o stopi zakonskih kamata između poduzetnika primjenjuju na poslovne transakcije na temelju kojih su isporuka robe ili pružanje usluge nastupili od dana stupanja na snagu ZIDZFPPN-a, tj. 30. lipnja 2013., a od 1. kolovoza 2015., prema čl. 3. Zakona o izmjenama i dopunama ZOO-a (Narodne novine br. 78/15, nadalje ZIDZOO) po stopi koja se određuje za svako polugodište uvećanjem prosječne kamatne stope na stanja kredita odobrenih na razdoblje dulje od godine dana nefinancijskim trgovačkim društvima izračunate za referentno razdoblje koje prethodi tekućem polugodištu za pet postotnih poena, sve s obzirom na to da je riječ o odnosu koji je proizašao iz trgovačkog ugovora.</w:t>
      </w:r>
    </w:p>
    <w:p>
      <w:pPr>
        <w:pStyle w:val="Normal"/>
        <w:ind w:firstLine="708"/>
        <w:rPr>
          <w:rFonts w:eastAsia="Calibri" w:cs="Times New Roman"/>
        </w:rPr>
      </w:pPr>
      <w:r>
        <w:rPr>
          <w:color w:val="000000"/>
        </w:rPr>
        <w:t>Slijedom svega navedenog, prema mišljenju ovog suda tužitelj je dokazao da je s tuženikom bio u ugovornom odnosu, postojanje obveze tuženika na plaćanje utuženih računa, a obzirom na to da tuženik nije dokazao da je podmirio navedenu tražbinu, sud je prihvatio tužbeni zahtjev, te obvezao tuženika platiti tužitelju utuženu tražbinu u cijelosti sa zatraženim zateznim kamatama koje teku od tuženikovog zakašnjenja, pa onda i platni nalog sadržan u predmetnom rješenju o ovrsi, sukladno čl. 451. st. 3. ZPP-a, djelomično održao na snazi i djelomično ukinuo, kao u t. I. i II. izreke presude.</w:t>
      </w:r>
    </w:p>
    <w:p>
      <w:pPr>
        <w:pStyle w:val="Normal"/>
        <w:ind w:firstLine="708"/>
        <w:rPr>
          <w:rFonts w:eastAsia="Calibri" w:cs="Times New Roman"/>
        </w:rPr>
      </w:pPr>
      <w:r>
        <w:rPr>
          <w:rFonts w:eastAsia="Calibri" w:cs="Times New Roman"/>
        </w:rPr>
        <w:t xml:space="preserve">Odluka o troškovima postupka temelji se na odredbama čl. 154. st. 3. u vezi s čl. 155. ZPP-a. O ovršnom trošku odlučeno je na način da je tužitelju priznat ovršni trošak u iznosu od 1.370,08 kn koji se odnosi na javnobilježničku nagradu s uračunatim PDV-om od 25 %, sukladno čl. 6. Pravilnika o nagradama i naknadi troškova javnih bilježnika u ovršnom postupku (Narodne novine br. 8/11, 112/12) i na trošak javnog bilježnika s uračunatim PDV-om od 25 % sukladno čl. 36. st. 2. odnosno čl. 37. Pravilnika o privremenoj javnobilježničkoj tarifi (Narodne novine br. </w:t>
      </w:r>
      <w:r>
        <w:rPr>
          <w:rFonts w:eastAsia="Times New Roman" w:cs="Times New Roman"/>
          <w:szCs w:val="24"/>
          <w:lang w:eastAsia="hr-HR"/>
        </w:rPr>
        <w:t>38/94, 82/94, 52/95, 115/12 i 120/15), a prema računu javnog bilježnika (list 12 spisa). Od predvidivih troškova ovršnog postupka u iznosu od 104,00 kn tužitelj je odustao.</w:t>
      </w:r>
      <w:r>
        <w:rPr>
          <w:rFonts w:eastAsia="Calibri" w:cs="Times New Roman"/>
        </w:rPr>
        <w:t xml:space="preserve"> Tužitelju je priznat i parnični trošak koji se odnosi na sudsku pristojbu za presudu u iznosu 1.026,00 kn </w:t>
      </w:r>
      <w:r>
        <w:rPr/>
        <w:t xml:space="preserve">prema </w:t>
      </w:r>
      <w:r>
        <w:rPr>
          <w:rFonts w:eastAsia="Times New Roman" w:cs="Times New Roman"/>
          <w:szCs w:val="24"/>
          <w:lang w:eastAsia="hr-HR"/>
        </w:rPr>
        <w:t xml:space="preserve">tar. br. 2. Tarife sudskih pristojbi sadržane u Zakonu o sudskim pristojbama (Narodne novine br. </w:t>
      </w:r>
      <w:r>
        <w:rPr>
          <w:bCs/>
        </w:rPr>
        <w:t>74/95, 57/96, 137/02, 26/03, 125/11, 112/12, 157/13, 110/15)</w:t>
      </w:r>
      <w:r>
        <w:rPr>
          <w:rFonts w:eastAsia="Times New Roman" w:cs="Times New Roman"/>
          <w:szCs w:val="24"/>
          <w:lang w:eastAsia="hr-HR"/>
        </w:rPr>
        <w:t>, te na putni trošak tužitelja za pristup ročištu održanom 19. rujna 2017. u iznosu od 220,00 kn (relacija Pula-Pazin-Pula, 55 km x 2 x 2,00 kn/km).</w:t>
      </w:r>
      <w:r>
        <w:rPr>
          <w:rFonts w:eastAsia="Calibri" w:cs="Times New Roman"/>
        </w:rPr>
        <w:t xml:space="preserve"> </w:t>
      </w:r>
      <w:r>
        <w:rPr/>
        <w:t>Visina stope i tijek zateznih kamata na troškove postupka (čl. 30. st. 3. Ovršnog zakona), koje je tužitelj zatražio u podnesku od 7. ožujka 2017. (list 41 spisa), određeni su prema čl. 29. st. 2. ZOO-a, odnosno prema čl. 3. ZIDZOO-a prema kojem se stopa određuje za svako polugodište uvećanjem prosječne kamatne stope na stanja kredita odobrenih na razdoblje dulje od godine dana nefinancijskim trgovačkim društvima izračunate za referentno razdoblje koje prethodi tekućem polugodištu za tri postotna poena („ostali odnosi“).</w:t>
      </w:r>
    </w:p>
    <w:p>
      <w:pPr>
        <w:pStyle w:val="Normal"/>
        <w:ind w:firstLine="708"/>
        <w:rPr>
          <w:rFonts w:eastAsia="Times New Roman" w:cs="Times New Roman"/>
          <w:szCs w:val="24"/>
          <w:lang w:eastAsia="hr-HR"/>
        </w:rPr>
      </w:pPr>
      <w:r>
        <w:rPr/>
        <w:t xml:space="preserve">Stoga je </w:t>
      </w:r>
      <w:r>
        <w:rPr>
          <w:rFonts w:eastAsia="Times New Roman" w:cs="Times New Roman"/>
          <w:szCs w:val="24"/>
          <w:lang w:eastAsia="hr-HR"/>
        </w:rPr>
        <w:t>tuženiku naloženo da u roku od osam dana tužitelju naknadi troškove parničnog postupka u iznosu od 1.246,00 kn, kao u t. II. izreke rješenja.</w:t>
      </w:r>
    </w:p>
    <w:p>
      <w:pPr>
        <w:pStyle w:val="Normal"/>
        <w:jc w:val="center"/>
        <w:rPr/>
      </w:pPr>
      <w:r>
        <w:rPr/>
      </w:r>
    </w:p>
    <w:p>
      <w:pPr>
        <w:pStyle w:val="Normal"/>
        <w:jc w:val="center"/>
        <w:rPr>
          <w:rFonts w:eastAsia="Times New Roman" w:cs="Times New Roman"/>
          <w:szCs w:val="24"/>
          <w:lang w:eastAsia="hr-HR"/>
        </w:rPr>
      </w:pPr>
      <w:r>
        <w:rPr>
          <w:rFonts w:eastAsia="Times New Roman" w:cs="Times New Roman"/>
          <w:szCs w:val="24"/>
          <w:lang w:eastAsia="hr-HR"/>
        </w:rPr>
        <w:t>U Pazinu 6. listopada 2017.</w:t>
      </w:r>
    </w:p>
    <w:p>
      <w:pPr>
        <w:pStyle w:val="Normal"/>
        <w:rPr>
          <w:rFonts w:eastAsia="Times New Roman" w:cs="Times New Roman"/>
          <w:szCs w:val="24"/>
          <w:lang w:eastAsia="hr-HR"/>
        </w:rPr>
      </w:pPr>
      <w:r>
        <w:rPr>
          <w:rFonts w:eastAsia="Times New Roman" w:cs="Times New Roman"/>
          <w:szCs w:val="24"/>
          <w:lang w:eastAsia="hr-HR"/>
        </w:rPr>
      </w:r>
    </w:p>
    <w:p>
      <w:pPr>
        <w:pStyle w:val="Normal"/>
        <w:ind w:left="4956" w:firstLine="708"/>
        <w:jc w:val="center"/>
        <w:rPr>
          <w:rFonts w:eastAsia="Times New Roman" w:cs="Times New Roman"/>
          <w:szCs w:val="24"/>
          <w:lang w:eastAsia="hr-HR"/>
        </w:rPr>
      </w:pPr>
      <w:r>
        <w:rPr>
          <w:rFonts w:eastAsia="Times New Roman" w:cs="Times New Roman"/>
          <w:szCs w:val="24"/>
          <w:lang w:eastAsia="hr-HR"/>
        </w:rPr>
        <w:t>Sutkinja</w:t>
      </w:r>
    </w:p>
    <w:p>
      <w:pPr>
        <w:pStyle w:val="Normal"/>
        <w:ind w:left="4956" w:firstLine="708"/>
        <w:jc w:val="center"/>
        <w:rPr>
          <w:rFonts w:eastAsia="Times New Roman" w:cs="Times New Roman"/>
          <w:szCs w:val="24"/>
          <w:lang w:eastAsia="hr-HR"/>
        </w:rPr>
      </w:pPr>
      <w:r>
        <w:rPr>
          <w:rFonts w:eastAsia="Times New Roman" w:cs="Times New Roman"/>
          <w:szCs w:val="24"/>
          <w:lang w:eastAsia="hr-HR"/>
        </w:rPr>
        <w:t>Adrijana Labinjan Skok, v. r.</w:t>
      </w:r>
    </w:p>
    <w:p>
      <w:pPr>
        <w:pStyle w:val="Normal"/>
        <w:rPr>
          <w:rFonts w:eastAsia="Times New Roman" w:cs="Times New Roman"/>
          <w:szCs w:val="24"/>
          <w:lang w:eastAsia="hr-HR"/>
        </w:rPr>
      </w:pPr>
      <w:r>
        <w:rPr>
          <w:rFonts w:eastAsia="Times New Roman" w:cs="Times New Roman"/>
          <w:szCs w:val="24"/>
          <w:lang w:eastAsia="hr-HR"/>
        </w:rPr>
      </w:r>
    </w:p>
    <w:p>
      <w:pPr>
        <w:pStyle w:val="Normal"/>
        <w:rPr>
          <w:rFonts w:eastAsia="Times New Roman" w:cs="Times New Roman"/>
          <w:szCs w:val="24"/>
          <w:lang w:eastAsia="hr-HR"/>
        </w:rPr>
      </w:pPr>
      <w:r>
        <w:rPr>
          <w:rFonts w:eastAsia="Times New Roman" w:cs="Times New Roman"/>
          <w:szCs w:val="24"/>
          <w:lang w:eastAsia="hr-HR"/>
        </w:rPr>
      </w:r>
    </w:p>
    <w:p>
      <w:pPr>
        <w:pStyle w:val="Normal"/>
        <w:rPr>
          <w:rFonts w:eastAsia="Times New Roman" w:cs="Times New Roman"/>
          <w:szCs w:val="24"/>
          <w:lang w:eastAsia="hr-HR"/>
        </w:rPr>
      </w:pPr>
      <w:r>
        <w:rPr>
          <w:rFonts w:eastAsia="Times New Roman" w:cs="Times New Roman"/>
          <w:szCs w:val="24"/>
          <w:lang w:eastAsia="hr-HR"/>
        </w:rPr>
        <w:t>UPUTA O PRAVNOM LIJEKU</w:t>
      </w:r>
    </w:p>
    <w:p>
      <w:pPr>
        <w:pStyle w:val="Normal"/>
        <w:ind w:firstLine="708"/>
        <w:rPr>
          <w:rFonts w:eastAsia="Calibri" w:cs="Times New Roman"/>
          <w:szCs w:val="24"/>
        </w:rPr>
      </w:pPr>
      <w:r>
        <w:rPr>
          <w:rFonts w:eastAsia="Calibri" w:cs="Times New Roman"/>
          <w:szCs w:val="24"/>
        </w:rPr>
        <w:t xml:space="preserve">Protiv ove odluke dopuštena je žalba Visokom trgovačkom sudu Republike Hrvatske. Žalba se podnosi putem ovog suda u tri pisana primjerka u roku od osam dana računajući od održavanja ročišta za objavu presude, ako je stranka bila uredno obaviještena o održavanju ročišta za objavu, odnosno od primitka prijepisa presude, ako stranka nije bila uredno obaviještena o ročištu za objavu presude. </w:t>
      </w:r>
    </w:p>
    <w:p>
      <w:pPr>
        <w:pStyle w:val="Normal"/>
        <w:rPr>
          <w:rFonts w:eastAsia="Times New Roman" w:cs="Times New Roman"/>
          <w:szCs w:val="24"/>
          <w:lang w:eastAsia="hr-HR"/>
        </w:rPr>
      </w:pPr>
      <w:r>
        <w:rPr>
          <w:rFonts w:eastAsia="Times New Roman" w:cs="Times New Roman"/>
          <w:szCs w:val="24"/>
          <w:lang w:eastAsia="hr-HR"/>
        </w:rPr>
      </w:r>
    </w:p>
    <w:p>
      <w:pPr>
        <w:pStyle w:val="Normal"/>
        <w:rPr>
          <w:rFonts w:eastAsia="Times New Roman" w:cs="Times New Roman"/>
          <w:szCs w:val="24"/>
          <w:lang w:eastAsia="hr-HR"/>
        </w:rPr>
      </w:pPr>
      <w:r>
        <w:rPr>
          <w:rFonts w:eastAsia="Times New Roman" w:cs="Times New Roman"/>
          <w:szCs w:val="24"/>
          <w:lang w:eastAsia="hr-HR"/>
        </w:rPr>
      </w:r>
    </w:p>
    <w:p>
      <w:pPr>
        <w:pStyle w:val="Normal"/>
        <w:rPr>
          <w:rFonts w:eastAsia="Times New Roman" w:cs="Times New Roman"/>
          <w:szCs w:val="24"/>
          <w:lang w:eastAsia="hr-HR"/>
        </w:rPr>
      </w:pPr>
      <w:r>
        <w:rPr>
          <w:rFonts w:eastAsia="Times New Roman" w:cs="Times New Roman"/>
          <w:szCs w:val="24"/>
          <w:lang w:eastAsia="hr-HR"/>
        </w:rPr>
        <w:t>DNA:</w:t>
      </w:r>
    </w:p>
    <w:p>
      <w:pPr>
        <w:pStyle w:val="Normal"/>
        <w:rPr>
          <w:rFonts w:eastAsia="Times New Roman" w:cs="Times New Roman"/>
          <w:szCs w:val="24"/>
          <w:lang w:eastAsia="hr-HR"/>
        </w:rPr>
      </w:pPr>
      <w:r>
        <w:rPr>
          <w:rFonts w:eastAsia="Times New Roman" w:cs="Times New Roman"/>
          <w:szCs w:val="24"/>
          <w:lang w:eastAsia="hr-HR"/>
        </w:rPr>
        <w:t>1. tužitelj, uz rješenje o pristojbi za presudu,</w:t>
      </w:r>
    </w:p>
    <w:p>
      <w:pPr>
        <w:pStyle w:val="Normal"/>
        <w:rPr>
          <w:rFonts w:eastAsia="Calibri" w:cs="Times New Roman"/>
          <w:szCs w:val="24"/>
        </w:rPr>
      </w:pPr>
      <w:r>
        <w:rPr>
          <w:rFonts w:eastAsia="Times New Roman" w:cs="Times New Roman"/>
          <w:szCs w:val="24"/>
          <w:lang w:eastAsia="hr-HR"/>
        </w:rPr>
        <w:t>2. tuženik po pun.</w:t>
      </w:r>
    </w:p>
    <w:p>
      <w:pPr>
        <w:pStyle w:val="Normal"/>
        <w:rPr/>
      </w:pPr>
      <w:r>
        <w:rPr/>
      </w:r>
    </w:p>
    <w:sectPr>
      <w:headerReference w:type="default" r:id="rId3"/>
      <w:headerReference w:type="first" r:id="rId4"/>
      <w:type w:val="nextPage"/>
      <w:pgSz w:w="11906" w:h="16838"/>
      <w:pgMar w:left="1417" w:right="1417" w:header="708" w:top="1417" w:footer="0"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pPr>
    <w:r>
      <w:rPr/>
      <w:t>11 Povrv-91/2017-27</w:t>
    </w:r>
    <w:r>
      <mc:AlternateContent>
        <mc:Choice Requires="wps">
          <w:drawing>
            <wp:anchor behindDoc="0" distT="0" distB="0" distL="0" distR="0" simplePos="0" locked="0" layoutInCell="1" allowOverlap="1" relativeHeight="6">
              <wp:simplePos x="0" y="0"/>
              <wp:positionH relativeFrom="margin">
                <wp:align>center</wp:align>
              </wp:positionH>
              <wp:positionV relativeFrom="paragraph">
                <wp:posOffset>635</wp:posOffset>
              </wp:positionV>
              <wp:extent cx="76835" cy="175260"/>
              <wp:effectExtent l="0" t="0" r="0" b="0"/>
              <wp:wrapSquare wrapText="largest"/>
              <wp:docPr id="2" name="Frame1"/>
              <a:graphic xmlns:a="http://schemas.openxmlformats.org/drawingml/2006/main">
                <a:graphicData uri="http://schemas.microsoft.com/office/word/2010/wordprocessingShape">
                  <wps:wsp>
                    <wps:cNvSpPr txBox="1"/>
                    <wps:spPr>
                      <a:xfrm>
                        <a:off x="0" y="0"/>
                        <a:ext cx="76835" cy="175260"/>
                      </a:xfrm>
                      <a:prstGeom prst="rect"/>
                      <a:solidFill>
                        <a:srgbClr val="FFFFFF">
                          <a:alpha val="0"/>
                        </a:srgbClr>
                      </a:solidFill>
                    </wps:spPr>
                    <wps:txbx>
                      <w:txbxContent>
                        <w:p>
                          <w:pPr>
                            <w:pStyle w:val="Header"/>
                            <w:pBdr/>
                            <w:rPr/>
                          </w:pPr>
                          <w:r>
                            <w:rPr>
                              <w:rStyle w:val="Pagenumber"/>
                            </w:rPr>
                            <w:fldChar w:fldCharType="begin"/>
                          </w:r>
                          <w:r>
                            <w:rPr>
                              <w:rStyle w:val="Pagenumber"/>
                            </w:rPr>
                            <w:instrText> PAGE </w:instrText>
                          </w:r>
                          <w:r>
                            <w:rPr>
                              <w:rStyle w:val="Pagenumber"/>
                            </w:rPr>
                            <w:fldChar w:fldCharType="separate"/>
                          </w:r>
                          <w:r>
                            <w:rPr>
                              <w:rStyle w:val="Pagenumber"/>
                            </w:rPr>
                            <w:t>5</w:t>
                          </w:r>
                          <w:r>
                            <w:rPr>
                              <w:rStyle w:val="Pagenumber"/>
                            </w:rPr>
                            <w:fldChar w:fldCharType="end"/>
                          </w:r>
                        </w:p>
                      </w:txbxContent>
                    </wps:txbx>
                    <wps:bodyPr anchor="t" lIns="0" tIns="0" rIns="0" bIns="0">
                      <a:spAutoFit/>
                    </wps:bodyPr>
                  </wps:wsp>
                </a:graphicData>
              </a:graphic>
            </wp:anchor>
          </w:drawing>
        </mc:Choice>
        <mc:Fallback>
          <w:pict>
            <v:rect fillcolor="#FFFFFF" style="position:absolute;rotation:0;width:6.05pt;height:13.8pt;mso-wrap-distance-left:0pt;mso-wrap-distance-right:0pt;mso-wrap-distance-top:0pt;mso-wrap-distance-bottom:0pt;margin-top:0.05pt;mso-position-vertical-relative:text;margin-left:223.8pt;mso-position-horizontal:center;mso-position-horizontal-relative:margin">
              <v:fill opacity="0f"/>
              <v:textbox inset="0in,0in,0in,0in">
                <w:txbxContent>
                  <w:p>
                    <w:pPr>
                      <w:pStyle w:val="Header"/>
                      <w:pBdr/>
                      <w:rPr/>
                    </w:pPr>
                    <w:r>
                      <w:rPr>
                        <w:rStyle w:val="Pagenumber"/>
                      </w:rPr>
                      <w:fldChar w:fldCharType="begin"/>
                    </w:r>
                    <w:r>
                      <w:rPr>
                        <w:rStyle w:val="Pagenumber"/>
                      </w:rPr>
                      <w:instrText> PAGE </w:instrText>
                    </w:r>
                    <w:r>
                      <w:rPr>
                        <w:rStyle w:val="Pagenumber"/>
                      </w:rPr>
                      <w:fldChar w:fldCharType="separate"/>
                    </w:r>
                    <w:r>
                      <w:rPr>
                        <w:rStyle w:val="Pagenumber"/>
                      </w:rPr>
                      <w:t>5</w:t>
                    </w:r>
                    <w:r>
                      <w:rPr>
                        <w:rStyle w:val="Pagenumber"/>
                      </w:rPr>
                      <w:fldChar w:fldCharType="end"/>
                    </w:r>
                  </w:p>
                </w:txbxContent>
              </v:textbox>
              <w10:wrap type="square" side="largest"/>
            </v:rect>
          </w:pict>
        </mc:Fallback>
      </mc:AlternateContent>
    </w:r>
  </w:p>
  <w:p>
    <w:pPr>
      <w:pStyle w:val="Header"/>
      <w:jc w:val="right"/>
      <w:rPr/>
    </w:pPr>
    <w:r>
      <w:rPr/>
      <w:t>(ranije Povrv-1523/2015)</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right"/>
      <w:rPr/>
    </w:pPr>
    <w:r>
      <w:rPr/>
      <w:t>11 Povrv-91/2017-27</w:t>
    </w:r>
  </w:p>
  <w:p>
    <w:pPr>
      <w:pStyle w:val="Header"/>
      <w:jc w:val="right"/>
      <w:rPr/>
    </w:pPr>
    <w:r>
      <w:rPr/>
      <w:t>(ranije Povrv-1523/2015)</w:t>
    </w:r>
  </w:p>
</w:hdr>
</file>

<file path=word/settings.xml><?xml version="1.0" encoding="utf-8"?>
<w:settings xmlns:w="http://schemas.openxmlformats.org/wordprocessingml/2006/main">
  <w:zoom w:percent="14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hr-H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hr-HR" w:eastAsia="en-US" w:bidi="ar-SA"/>
      </w:rPr>
    </w:rPrDefault>
    <w:pPrDefault>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1">
    <w:name w:val="Normal"/>
    <w:qFormat/>
    <w:rsid w:val="00de470f"/>
    <w:pPr>
      <w:widowControl/>
      <w:bidi w:val="0"/>
      <w:spacing w:lineRule="auto" w:line="240" w:before="0" w:after="0"/>
      <w:jc w:val="both"/>
    </w:pPr>
    <w:rPr>
      <w:rFonts w:ascii="Times New Roman" w:hAnsi="Times New Roman" w:eastAsia="Calibri" w:cs="" w:cstheme="minorBidi" w:eastAsiaTheme="minorHAnsi"/>
      <w:color w:val="auto"/>
      <w:kern w:val="0"/>
      <w:sz w:val="24"/>
      <w:szCs w:val="22"/>
      <w:lang w:val="hr-HR" w:eastAsia="en-US" w:bidi="ar-SA"/>
    </w:rPr>
  </w:style>
  <w:style w:type="character" w:styleId="DefaultParagraphFont" w:default="1">
    <w:name w:val="Default Paragraph Font"/>
    <w:uiPriority w:val="1"/>
    <w:semiHidden/>
    <w:unhideWhenUsed/>
    <w:qFormat/>
    <w:rPr/>
  </w:style>
  <w:style w:type="character" w:styleId="ZaglavljeChar" w:customStyle="1">
    <w:name w:val="Zaglavlje Char"/>
    <w:basedOn w:val="DefaultParagraphFont"/>
    <w:link w:val="Zaglavlje"/>
    <w:uiPriority w:val="99"/>
    <w:qFormat/>
    <w:rsid w:val="00de470f"/>
    <w:rPr>
      <w:rFonts w:ascii="Times New Roman" w:hAnsi="Times New Roman"/>
      <w:sz w:val="24"/>
    </w:rPr>
  </w:style>
  <w:style w:type="character" w:styleId="Pagenumber">
    <w:name w:val="page number"/>
    <w:basedOn w:val="DefaultParagraphFont"/>
    <w:qFormat/>
    <w:rsid w:val="00de470f"/>
    <w:rPr/>
  </w:style>
  <w:style w:type="character" w:styleId="TekstbaloniaChar" w:customStyle="1">
    <w:name w:val="Tekst balončića Char"/>
    <w:basedOn w:val="DefaultParagraphFont"/>
    <w:link w:val="Tekstbalonia"/>
    <w:uiPriority w:val="99"/>
    <w:semiHidden/>
    <w:qFormat/>
    <w:rsid w:val="00de470f"/>
    <w:rPr>
      <w:rFonts w:ascii="Tahoma" w:hAnsi="Tahoma" w:cs="Tahoma"/>
      <w:sz w:val="16"/>
      <w:szCs w:val="16"/>
    </w:rPr>
  </w:style>
  <w:style w:type="character" w:styleId="PodnojeChar" w:customStyle="1">
    <w:name w:val="Podnožje Char"/>
    <w:basedOn w:val="DefaultParagraphFont"/>
    <w:link w:val="Podnoje"/>
    <w:uiPriority w:val="99"/>
    <w:qFormat/>
    <w:rsid w:val="00de470f"/>
    <w:rPr>
      <w:rFonts w:ascii="Times New Roman" w:hAnsi="Times New Roman"/>
      <w:sz w:val="24"/>
    </w:rPr>
  </w:style>
  <w:style w:type="character" w:styleId="PlaceholderText">
    <w:name w:val="Placeholder Text"/>
    <w:basedOn w:val="DefaultParagraphFont"/>
    <w:uiPriority w:val="99"/>
    <w:semiHidden/>
    <w:qFormat/>
    <w:rsid w:val="00e80217"/>
    <w:rPr>
      <w:color w:val="808080"/>
      <w:shd w:fill="auto" w:val="clear"/>
    </w:rPr>
  </w:style>
  <w:style w:type="character" w:styleId="ESPISCCParagraphDefaultFont" w:customStyle="1">
    <w:name w:val="eSPIS_CC_Paragraph Default Font"/>
    <w:basedOn w:val="DefaultParagraphFont"/>
    <w:qFormat/>
    <w:rsid w:val="00e80217"/>
    <w:rPr>
      <w:rFonts w:ascii="Times New Roman" w:hAnsi="Times New Roman" w:eastAsia="Times New Roman" w:cs="Times New Roman"/>
      <w:sz w:val="24"/>
      <w:szCs w:val="20"/>
      <w:shd w:fill="auto" w:val="clear"/>
      <w:lang w:val="hr-HR" w:eastAsia="hr-HR"/>
    </w:rPr>
  </w:style>
  <w:style w:type="character" w:styleId="PozadinaSvijetloZuta" w:customStyle="1">
    <w:name w:val="Pozadina_SvijetloZuta"/>
    <w:basedOn w:val="DefaultParagraphFont"/>
    <w:qFormat/>
    <w:rsid w:val="00e80217"/>
    <w:rPr>
      <w:rFonts w:eastAsia="Times New Roman" w:cs="Times New Roman"/>
      <w:szCs w:val="20"/>
      <w:shd w:fill="FFFFCC" w:val="clear"/>
      <w:lang w:val="hr-HR" w:eastAsia="hr-HR"/>
    </w:rPr>
  </w:style>
  <w:style w:type="character" w:styleId="PozadinaSvijetloCrvena" w:customStyle="1">
    <w:name w:val="Pozadina_SvijetloCrvena"/>
    <w:basedOn w:val="ESPISCCParagraphDefaultFont"/>
    <w:qFormat/>
    <w:rsid w:val="00e80217"/>
    <w:rPr>
      <w:rFonts w:ascii="Times New Roman" w:hAnsi="Times New Roman" w:eastAsia="Times New Roman" w:cs="Times New Roman"/>
      <w:sz w:val="24"/>
      <w:szCs w:val="20"/>
      <w:shd w:fill="FFCCCC" w:val="clear"/>
      <w:lang w:val="hr-HR" w:eastAsia="hr-HR"/>
    </w:rPr>
  </w:style>
  <w:style w:type="character" w:styleId="PozadinaSvijetloZelena" w:customStyle="1">
    <w:name w:val="Pozadina_SvijetloZelena"/>
    <w:basedOn w:val="ESPISCCParagraphDefaultFont"/>
    <w:qFormat/>
    <w:rsid w:val="00e80217"/>
    <w:rPr>
      <w:rFonts w:ascii="Times New Roman" w:hAnsi="Times New Roman" w:eastAsia="Times New Roman" w:cs="Times New Roman"/>
      <w:sz w:val="24"/>
      <w:szCs w:val="20"/>
      <w:shd w:fill="CCFFCC" w:val="clear"/>
      <w:lang w:val="hr-HR" w:eastAsia="hr-HR"/>
    </w:rPr>
  </w:style>
  <w:style w:type="character" w:styleId="ListLabel1">
    <w:name w:val="ListLabel 1"/>
    <w:qFormat/>
    <w:rPr>
      <w:rFonts w:eastAsia="Calibri" w:cs="Times New Roman"/>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eastAsia="Calibri" w:cs="Times New Roman"/>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Header">
    <w:name w:val="Header"/>
    <w:basedOn w:val="Normal"/>
    <w:link w:val="ZaglavljeChar"/>
    <w:uiPriority w:val="99"/>
    <w:unhideWhenUsed/>
    <w:rsid w:val="00de470f"/>
    <w:pPr>
      <w:tabs>
        <w:tab w:val="clear" w:pos="708"/>
        <w:tab w:val="center" w:pos="4536" w:leader="none"/>
        <w:tab w:val="right" w:pos="9072" w:leader="none"/>
      </w:tabs>
    </w:pPr>
    <w:rPr/>
  </w:style>
  <w:style w:type="paragraph" w:styleId="BalloonText">
    <w:name w:val="Balloon Text"/>
    <w:basedOn w:val="Normal"/>
    <w:link w:val="TekstbaloniaChar"/>
    <w:uiPriority w:val="99"/>
    <w:semiHidden/>
    <w:unhideWhenUsed/>
    <w:qFormat/>
    <w:rsid w:val="00de470f"/>
    <w:pPr/>
    <w:rPr>
      <w:rFonts w:ascii="Tahoma" w:hAnsi="Tahoma" w:cs="Tahoma"/>
      <w:sz w:val="16"/>
      <w:szCs w:val="16"/>
    </w:rPr>
  </w:style>
  <w:style w:type="paragraph" w:styleId="Footer">
    <w:name w:val="Footer"/>
    <w:basedOn w:val="Normal"/>
    <w:link w:val="PodnojeChar"/>
    <w:uiPriority w:val="99"/>
    <w:unhideWhenUsed/>
    <w:rsid w:val="00de470f"/>
    <w:pPr>
      <w:tabs>
        <w:tab w:val="clear" w:pos="708"/>
        <w:tab w:val="center" w:pos="4536" w:leader="none"/>
        <w:tab w:val="right" w:pos="9072" w:leader="none"/>
      </w:tabs>
    </w:pPr>
    <w:rPr/>
  </w:style>
  <w:style w:type="paragraph" w:styleId="ListParagraph">
    <w:name w:val="List Paragraph"/>
    <w:basedOn w:val="Normal"/>
    <w:uiPriority w:val="34"/>
    <w:qFormat/>
    <w:rsid w:val="00901952"/>
    <w:pPr>
      <w:spacing w:before="0" w:after="0"/>
      <w:ind w:left="720" w:hanging="0"/>
      <w:contextualSpacing/>
    </w:pPr>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70126.31</izvorni_sadrzaj>
    <derivirana_varijabla naziv="DomainObject.Predmet.InicijalnaVrijednost_1">70126.31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 RADU KOD SS MIHAELE KALIGARI“ OD 20.1.2017.</izvorni_sadrzaj>
    <derivirana_varijabla naziv="DomainObject.Predmet.Opis_1">„U RADU KOD SS MIHAELE KALIGARI“ OD 20.1.2017.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Povrv-91/2017</izvorni_sadrzaj>
    <derivirana_varijabla naziv="DomainObject.Predmet.OznakaBroj_1">Povrv-91/2017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HYDRO SISTEMI d.o.o. ŽMINJ</izvorni_sadrzaj>
    <derivirana_varijabla naziv="DomainObject.Predmet.ProtustrankaFormated_1">  HYDRO SISTEMI d.o.o. ŽMINJ</derivirana_varijabla>
  </DomainObject.Predmet.ProtustrankaFormated>
  <DomainObject.Predmet.ProtustrankaFormatedOIB>
    <izvorni_sadrzaj>  HYDRO SISTEMI d.o.o. ŽMINJ, OIB 33385208786</izvorni_sadrzaj>
    <derivirana_varijabla naziv="DomainObject.Predmet.ProtustrankaFormatedOIB_1">  HYDRO SISTEMI d.o.o. ŽMINJ, OIB 33385208786</derivirana_varijabla>
  </DomainObject.Predmet.ProtustrankaFormatedOIB>
  <DomainObject.Predmet.ProtustrankaFormatedWithAdress>
    <izvorni_sadrzaj> HYDRO SISTEMI d.o.o. ŽMINJ, Pucići 3, 52341 Žminj</izvorni_sadrzaj>
    <derivirana_varijabla naziv="DomainObject.Predmet.ProtustrankaFormatedWithAdress_1"> HYDRO SISTEMI d.o.o. ŽMINJ, Pucići 3, 52341 Žminj</derivirana_varijabla>
  </DomainObject.Predmet.ProtustrankaFormatedWithAdress>
  <DomainObject.Predmet.ProtustrankaFormatedWithAdressOIB>
    <izvorni_sadrzaj> HYDRO SISTEMI d.o.o. ŽMINJ, OIB 33385208786, Pucići 3, 52341 Žminj</izvorni_sadrzaj>
    <derivirana_varijabla naziv="DomainObject.Predmet.ProtustrankaFormatedWithAdressOIB_1"> HYDRO SISTEMI d.o.o. ŽMINJ, OIB 33385208786, Pucići 3, 52341 Žminj</derivirana_varijabla>
  </DomainObject.Predmet.ProtustrankaFormatedWithAdressOIB>
  <DomainObject.Predmet.ProtustrankaWithAdress>
    <izvorni_sadrzaj>HYDRO SISTEMI d.o.o. ŽMINJ Pucići 3, 52341 Žminj</izvorni_sadrzaj>
    <derivirana_varijabla naziv="DomainObject.Predmet.ProtustrankaWithAdress_1">HYDRO SISTEMI d.o.o. ŽMINJ Pucići 3, 52341 Žminj</derivirana_varijabla>
  </DomainObject.Predmet.ProtustrankaWithAdress>
  <DomainObject.Predmet.ProtustrankaWithAdressOIB>
    <izvorni_sadrzaj>HYDRO SISTEMI d.o.o. ŽMINJ, OIB 33385208786, Pucići 3, 52341 Žminj</izvorni_sadrzaj>
    <derivirana_varijabla naziv="DomainObject.Predmet.ProtustrankaWithAdressOIB_1">HYDRO SISTEMI d.o.o. ŽMINJ, OIB 33385208786, Pucići 3, 52341 Žminj</derivirana_varijabla>
  </DomainObject.Predmet.ProtustrankaWithAdressOIB>
  <DomainObject.Predmet.ProtustrankaNazivFormated>
    <izvorni_sadrzaj>HYDRO SISTEMI d.o.o. ŽMINJ</izvorni_sadrzaj>
    <derivirana_varijabla naziv="DomainObject.Predmet.ProtustrankaNazivFormated_1">HYDRO SISTEMI d.o.o. ŽMINJ</derivirana_varijabla>
  </DomainObject.Predmet.ProtustrankaNazivFormated>
  <DomainObject.Predmet.ProtustrankaNazivFormatedOIB>
    <izvorni_sadrzaj>HYDRO SISTEMI d.o.o. ŽMINJ, OIB 33385208786</izvorni_sadrzaj>
    <derivirana_varijabla naziv="DomainObject.Predmet.ProtustrankaNazivFormatedOIB_1">HYDRO SISTEMI d.o.o. ŽMINJ, OIB 33385208786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ULJANIK Strojogradnja d. d. PULA</izvorni_sadrzaj>
    <derivirana_varijabla naziv="DomainObject.Predmet.StrankaFormated_1">  ULJANIK Strojogradnja d. d. PULA</derivirana_varijabla>
  </DomainObject.Predmet.StrankaFormated>
  <DomainObject.Predmet.StrankaFormatedOIB>
    <izvorni_sadrzaj>  ULJANIK Strojogradnja d. d. PULA, OIB 36934697422</izvorni_sadrzaj>
    <derivirana_varijabla naziv="DomainObject.Predmet.StrankaFormatedOIB_1">  ULJANIK Strojogradnja d. d. PULA, OIB 36934697422</derivirana_varijabla>
  </DomainObject.Predmet.StrankaFormatedOIB>
  <DomainObject.Predmet.StrankaFormatedWithAdress>
    <izvorni_sadrzaj> ULJANIK Strojogradnja d. d. PULA, Flaciusova 1, 52100 Pula</izvorni_sadrzaj>
    <derivirana_varijabla naziv="DomainObject.Predmet.StrankaFormatedWithAdress_1"> ULJANIK Strojogradnja d. d. PULA, Flaciusova 1, 52100 Pula</derivirana_varijabla>
  </DomainObject.Predmet.StrankaFormatedWithAdress>
  <DomainObject.Predmet.StrankaFormatedWithAdressOIB>
    <izvorni_sadrzaj> ULJANIK Strojogradnja d. d. PULA, OIB 36934697422, Flaciusova 1, 52100 Pula</izvorni_sadrzaj>
    <derivirana_varijabla naziv="DomainObject.Predmet.StrankaFormatedWithAdressOIB_1"> ULJANIK Strojogradnja d. d. PULA, OIB 36934697422, Flaciusova 1, 52100 Pula</derivirana_varijabla>
  </DomainObject.Predmet.StrankaFormatedWithAdressOIB>
  <DomainObject.Predmet.StrankaWithAdress>
    <izvorni_sadrzaj>ULJANIK Strojogradnja d. d. PULA Flaciusova 1,52100 Pula</izvorni_sadrzaj>
    <derivirana_varijabla naziv="DomainObject.Predmet.StrankaWithAdress_1">ULJANIK Strojogradnja d. d. PULA Flaciusova 1,52100 Pula</derivirana_varijabla>
  </DomainObject.Predmet.StrankaWithAdress>
  <DomainObject.Predmet.StrankaWithAdressOIB>
    <izvorni_sadrzaj>ULJANIK Strojogradnja d. d. PULA, OIB 36934697422, Flaciusova 1,52100 Pula</izvorni_sadrzaj>
    <derivirana_varijabla naziv="DomainObject.Predmet.StrankaWithAdressOIB_1">ULJANIK Strojogradnja d. d. PULA, OIB 36934697422, Flaciusova 1,52100 Pula</derivirana_varijabla>
  </DomainObject.Predmet.StrankaWithAdressOIB>
  <DomainObject.Predmet.StrankaNazivFormated>
    <izvorni_sadrzaj>ULJANIK Strojogradnja d. d. PULA</izvorni_sadrzaj>
    <derivirana_varijabla naziv="DomainObject.Predmet.StrankaNazivFormated_1">ULJANIK Strojogradnja d. d. PULA</derivirana_varijabla>
  </DomainObject.Predmet.StrankaNazivFormated>
  <DomainObject.Predmet.StrankaNazivFormatedOIB>
    <izvorni_sadrzaj>ULJANIK Strojogradnja d. d. PULA, OIB 36934697422</izvorni_sadrzaj>
    <derivirana_varijabla naziv="DomainObject.Predmet.StrankaNazivFormatedOIB_1">ULJANIK Strojogradnja d. d. PULA, OIB 36934697422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Predmeti proslijeđeni od JB po prigovoru na rješenje o ovrsi na temelju vjerodostojne isprave do 500.000,00 kn</izvorni_sadrzaj>
    <derivirana_varijabla naziv="DomainObject.Predmet.VrstaSpora.Naziv_1">Predmeti proslijeđeni od JB po prigovoru na rješenje o ovrsi na temelju vjerodostojne isprave do 500.000,00 kn</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ULJANIK Strojogradnja d. d. PULA</item>
    </izvorni_sadrzaj>
    <derivirana_varijabla naziv="DomainObject.Predmet.StrankaListFormated_1">
      <item>ULJANIK Strojogradnja d. d. PULA</item>
    </derivirana_varijabla>
  </DomainObject.Predmet.StrankaListFormated>
  <DomainObject.Predmet.StrankaListFormatedOIB>
    <izvorni_sadrzaj>
      <item>ULJANIK Strojogradnja d. d. PULA, OIB 36934697422</item>
    </izvorni_sadrzaj>
    <derivirana_varijabla naziv="DomainObject.Predmet.StrankaListFormatedOIB_1">
      <item>ULJANIK Strojogradnja d. d. PULA, OIB 36934697422</item>
    </derivirana_varijabla>
  </DomainObject.Predmet.StrankaListFormatedOIB>
  <DomainObject.Predmet.StrankaListFormatedWithAdress>
    <izvorni_sadrzaj>
      <item>ULJANIK Strojogradnja d. d. PULA, Flaciusova 1, 52100 Pula</item>
    </izvorni_sadrzaj>
    <derivirana_varijabla naziv="DomainObject.Predmet.StrankaListFormatedWithAdress_1">
      <item>ULJANIK Strojogradnja d. d. PULA, Flaciusova 1, 52100 Pula</item>
    </derivirana_varijabla>
  </DomainObject.Predmet.StrankaListFormatedWithAdress>
  <DomainObject.Predmet.StrankaListFormatedWithAdressOIB>
    <izvorni_sadrzaj>
      <item>ULJANIK Strojogradnja d. d. PULA, OIB 36934697422, Flaciusova 1, 52100 Pula</item>
    </izvorni_sadrzaj>
    <derivirana_varijabla naziv="DomainObject.Predmet.StrankaListFormatedWithAdressOIB_1">
      <item>ULJANIK Strojogradnja d. d. PULA, OIB 36934697422, Flaciusova 1, 52100 Pula</item>
    </derivirana_varijabla>
  </DomainObject.Predmet.StrankaListFormatedWithAdressOIB>
  <DomainObject.Predmet.StrankaListNazivFormated>
    <izvorni_sadrzaj>
      <item>ULJANIK Strojogradnja d. d. PULA</item>
    </izvorni_sadrzaj>
    <derivirana_varijabla naziv="DomainObject.Predmet.StrankaListNazivFormated_1">
      <item>ULJANIK Strojogradnja d. d. PULA</item>
    </derivirana_varijabla>
  </DomainObject.Predmet.StrankaListNazivFormated>
  <DomainObject.Predmet.StrankaListNazivFormatedOIB>
    <izvorni_sadrzaj>
      <item>ULJANIK Strojogradnja d. d. PULA, OIB 36934697422</item>
    </izvorni_sadrzaj>
    <derivirana_varijabla naziv="DomainObject.Predmet.StrankaListNazivFormatedOIB_1">
      <item>ULJANIK Strojogradnja d. d. PULA, OIB 36934697422</item>
    </derivirana_varijabla>
  </DomainObject.Predmet.StrankaListNazivFormatedOIB>
  <DomainObject.Predmet.ProtuStrankaListFormated>
    <izvorni_sadrzaj>
      <item>HYDRO SISTEMI d.o.o. ŽMINJ</item>
    </izvorni_sadrzaj>
    <derivirana_varijabla naziv="DomainObject.Predmet.ProtuStrankaListFormated_1">
      <item>HYDRO SISTEMI d.o.o. ŽMINJ</item>
    </derivirana_varijabla>
  </DomainObject.Predmet.ProtuStrankaListFormated>
  <DomainObject.Predmet.ProtuStrankaListFormatedOIB>
    <izvorni_sadrzaj>
      <item>HYDRO SISTEMI d.o.o. ŽMINJ, OIB 33385208786</item>
    </izvorni_sadrzaj>
    <derivirana_varijabla naziv="DomainObject.Predmet.ProtuStrankaListFormatedOIB_1">
      <item>HYDRO SISTEMI d.o.o. ŽMINJ, OIB 33385208786</item>
    </derivirana_varijabla>
  </DomainObject.Predmet.ProtuStrankaListFormatedOIB>
  <DomainObject.Predmet.ProtuStrankaListFormatedWithAdress>
    <izvorni_sadrzaj>
      <item>HYDRO SISTEMI d.o.o. ŽMINJ, Pucići 3, 52341 Žminj</item>
    </izvorni_sadrzaj>
    <derivirana_varijabla naziv="DomainObject.Predmet.ProtuStrankaListFormatedWithAdress_1">
      <item>HYDRO SISTEMI d.o.o. ŽMINJ, Pucići 3, 52341 Žminj</item>
    </derivirana_varijabla>
  </DomainObject.Predmet.ProtuStrankaListFormatedWithAdress>
  <DomainObject.Predmet.ProtuStrankaListFormatedWithAdressOIB>
    <izvorni_sadrzaj>
      <item>HYDRO SISTEMI d.o.o. ŽMINJ, OIB 33385208786, Pucići 3, 52341 Žminj</item>
    </izvorni_sadrzaj>
    <derivirana_varijabla naziv="DomainObject.Predmet.ProtuStrankaListFormatedWithAdressOIB_1">
      <item>HYDRO SISTEMI d.o.o. ŽMINJ, OIB 33385208786, Pucići 3, 52341 Žminj</item>
    </derivirana_varijabla>
  </DomainObject.Predmet.ProtuStrankaListFormatedWithAdressOIB>
  <DomainObject.Predmet.ProtuStrankaListNazivFormated>
    <izvorni_sadrzaj>
      <item>HYDRO SISTEMI d.o.o. ŽMINJ</item>
    </izvorni_sadrzaj>
    <derivirana_varijabla naziv="DomainObject.Predmet.ProtuStrankaListNazivFormated_1">
      <item>HYDRO SISTEMI d.o.o. ŽMINJ</item>
    </derivirana_varijabla>
  </DomainObject.Predmet.ProtuStrankaListNazivFormated>
  <DomainObject.Predmet.ProtuStrankaListNazivFormatedOIB>
    <izvorni_sadrzaj>
      <item>HYDRO SISTEMI d.o.o. ŽMINJ, OIB 33385208786</item>
    </izvorni_sadrzaj>
    <derivirana_varijabla naziv="DomainObject.Predmet.ProtuStrankaListNazivFormatedOIB_1">
      <item>HYDRO SISTEMI d.o.o. ŽMINJ, OIB 33385208786</item>
    </derivirana_varijabla>
  </DomainObject.Predmet.ProtuStrankaListNazivFormatedOIB>
  <DomainObject.Predmet.OstaliListFormated>
    <izvorni_sadrzaj>
      <item>Odvj. Stelio Lapić</item>
    </izvorni_sadrzaj>
    <derivirana_varijabla naziv="DomainObject.Predmet.OstaliListFormated_1">
      <item>Odvj. Stelio Lapić</item>
    </derivirana_varijabla>
  </DomainObject.Predmet.OstaliListFormated>
  <DomainObject.Predmet.OstaliListFormatedOIB>
    <izvorni_sadrzaj>
      <item>Odvj. Stelio Lapić</item>
    </izvorni_sadrzaj>
    <derivirana_varijabla naziv="DomainObject.Predmet.OstaliListFormatedOIB_1">
      <item>Odvj. Stelio Lapić</item>
    </derivirana_varijabla>
  </DomainObject.Predmet.OstaliListFormatedOIB>
  <DomainObject.Predmet.OstaliListFormatedWithAdress>
    <izvorni_sadrzaj>
      <item>Odvj. Stelio Lapić, 43. Istarske divizije 35, 52210 Rovinj</item>
    </izvorni_sadrzaj>
    <derivirana_varijabla naziv="DomainObject.Predmet.OstaliListFormatedWithAdress_1">
      <item>Odvj. Stelio Lapić, 43. Istarske divizije 35, 52210 Rovinj</item>
    </derivirana_varijabla>
  </DomainObject.Predmet.OstaliListFormatedWithAdress>
  <DomainObject.Predmet.OstaliListFormatedWithAdressOIB>
    <izvorni_sadrzaj>
      <item>Odvj. Stelio Lapić, 43. Istarske divizije 35, 52210 Rovinj</item>
    </izvorni_sadrzaj>
    <derivirana_varijabla naziv="DomainObject.Predmet.OstaliListFormatedWithAdressOIB_1">
      <item>Odvj. Stelio Lapić, 43. Istarske divizije 35, 52210 Rovinj</item>
    </derivirana_varijabla>
  </DomainObject.Predmet.OstaliListFormatedWithAdressOIB>
  <DomainObject.Predmet.OstaliListNazivFormated>
    <izvorni_sadrzaj>
      <item>Odvj. Stelio Lapić</item>
    </izvorni_sadrzaj>
    <derivirana_varijabla naziv="DomainObject.Predmet.OstaliListNazivFormated_1">
      <item>Odvj. Stelio Lapić</item>
    </derivirana_varijabla>
  </DomainObject.Predmet.OstaliListNazivFormated>
  <DomainObject.Predmet.OstaliListNazivFormatedOIB>
    <izvorni_sadrzaj>
      <item>Odvj. Stelio Lapić</item>
    </izvorni_sadrzaj>
    <derivirana_varijabla naziv="DomainObject.Predmet.OstaliListNazivFormatedOIB_1">
      <item>Odvj. Stelio Lapić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ULJANIK Strojogradnja d. d. PULA</izvorni_sadrzaj>
    <derivirana_varijabla naziv="DomainObject.Predmet.StrankaIDrugi_1">ULJANIK Strojogradnja d. d. PULA</derivirana_varijabla>
  </DomainObject.Predmet.StrankaIDrugi>
  <DomainObject.Predmet.ProtustrankaIDrugi>
    <izvorni_sadrzaj>HYDRO SISTEMI d.o.o. ŽMINJ</izvorni_sadrzaj>
    <derivirana_varijabla naziv="DomainObject.Predmet.ProtustrankaIDrugi_1">HYDRO SISTEMI d.o.o. ŽMINJ</derivirana_varijabla>
  </DomainObject.Predmet.ProtustrankaIDrugi>
  <DomainObject.Predmet.StrankaIDrugiAdressOIB>
    <izvorni_sadrzaj>ULJANIK Strojogradnja d. d. PULA, OIB 36934697422, Flaciusova 1, 52100 Pula</izvorni_sadrzaj>
    <derivirana_varijabla naziv="DomainObject.Predmet.StrankaIDrugiAdressOIB_1">ULJANIK Strojogradnja d. d. PULA, OIB 36934697422, Flaciusova 1, 52100 Pula</derivirana_varijabla>
  </DomainObject.Predmet.StrankaIDrugiAdressOIB>
  <DomainObject.Predmet.ProtustrankaIDrugiAdressOIB>
    <izvorni_sadrzaj>HYDRO SISTEMI d.o.o. ŽMINJ, OIB 33385208786, Pucići 3, 52341 Žminj</izvorni_sadrzaj>
    <derivirana_varijabla naziv="DomainObject.Predmet.ProtustrankaIDrugiAdressOIB_1">HYDRO SISTEMI d.o.o. ŽMINJ, OIB 33385208786, Pucići 3, 52341 Žminj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Stelio Lapić</item>
      <item>HYDRO SISTEMI d.o.o. ŽMINJ</item>
      <item>ULJANIK Strojogradnja d. d. PULA</item>
    </izvorni_sadrzaj>
    <derivirana_varijabla naziv="DomainObject.Predmet.SudioniciListNaziv_1">
      <item>Odvj. Stelio Lapić</item>
      <item>HYDRO SISTEMI d.o.o. ŽMINJ</item>
      <item>ULJANIK Strojogradnja d. d. PULA</item>
    </derivirana_varijabla>
  </DomainObject.Predmet.SudioniciListNaziv>
  <DomainObject.Predmet.SudioniciListAdressOIB>
    <izvorni_sadrzaj>
      <item>Odvj. Stelio Lapić, 43. Istarske divizije 35,52210 Rovinj</item>
      <item>HYDRO SISTEMI d.o.o. ŽMINJ, OIB 33385208786, Pucići 3,52341 Žminj</item>
      <item>ULJANIK Strojogradnja d. d. PULA, OIB 36934697422, Flaciusova 1,52100 Pula</item>
    </izvorni_sadrzaj>
    <derivirana_varijabla naziv="DomainObject.Predmet.SudioniciListAdressOIB_1">
      <item>Odvj. Stelio Lapić, 43. Istarske divizije 35,52210 Rovinj</item>
      <item>HYDRO SISTEMI d.o.o. ŽMINJ, OIB 33385208786, Pucići 3,52341 Žminj</item>
      <item>ULJANIK Strojogradnja d. d. PULA, OIB 36934697422,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33385208786</item>
      <item>, OIB 36934697422</item>
    </izvorni_sadrzaj>
    <derivirana_varijabla naziv="DomainObject.Predmet.SudioniciListNazivOIB_1">
      <item>, OIB null</item>
      <item>, OIB 33385208786</item>
      <item>, OIB 36934697422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Application>LibreOffice/6.2.3.2$Windows_x86 LibreOffice_project/aecc05fe267cc68dde00352a451aa867b3b546ac</Application>
  <Pages>3</Pages>
  <Words>2959</Words>
  <Characters>15344</Characters>
  <CharactersWithSpaces>18294</CharactersWithSpaces>
  <Paragraphs>44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2017-10-05T06:25:00Z</dcterms:created>
  <dc:creator>Mihaela Kaligari</dc:creator>
  <dc:description/>
  <dc:language>hr-HR</dc:language>
  <cp:lastModifiedBy>Jasmina Matika</cp:lastModifiedBy>
  <cp:lastPrinted>2017-10-03T10:13:00Z</cp:lastPrinted>
  <dcterms:modified xsi:type="dcterms:W3CDTF">2017-10-06T12:45:00Z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BrojStranica">
    <vt:i4>5</vt:i4>
  </property>
  <property fmtid="{D5CDD505-2E9C-101B-9397-08002B2CF9AE}" pid="4" name="CC_coloring">
    <vt:bool>0</vt:bool>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Naslov">
    <vt:lpwstr>Novi sadržaj dokumenta</vt:lpwstr>
  </property>
  <property fmtid="{D5CDD505-2E9C-101B-9397-08002B2CF9AE}" pid="9" name="Saved">
    <vt:bool>1</vt:bool>
  </property>
  <property fmtid="{D5CDD505-2E9C-101B-9397-08002B2CF9AE}" pid="10" name="ScaleCrop">
    <vt:bool>0</vt:bool>
  </property>
  <property fmtid="{D5CDD505-2E9C-101B-9397-08002B2CF9AE}" pid="11" name="ShareDoc">
    <vt:bool>0</vt:bool>
  </property>
</Properties>
</file>